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544B" w:rsidRPr="0084580A" w:rsidRDefault="00D9544B" w:rsidP="00D9544B">
      <w:pPr>
        <w:rPr>
          <w:b/>
          <w:sz w:val="24"/>
          <w:u w:val="single"/>
        </w:rPr>
      </w:pPr>
      <w:bookmarkStart w:id="0" w:name="_GoBack"/>
      <w:bookmarkEnd w:id="0"/>
      <w:r w:rsidRPr="0084580A">
        <w:rPr>
          <w:b/>
          <w:sz w:val="24"/>
          <w:u w:val="single"/>
        </w:rPr>
        <w:t>Supplementary Information</w:t>
      </w:r>
    </w:p>
    <w:p w:rsidR="00D9544B" w:rsidRDefault="00D9544B" w:rsidP="00D9544B">
      <w:pPr>
        <w:jc w:val="center"/>
        <w:rPr>
          <w:rFonts w:cs="Times New Roman"/>
          <w:b/>
          <w:i/>
          <w:sz w:val="24"/>
          <w:lang w:val="en-US"/>
        </w:rPr>
      </w:pPr>
      <w:r>
        <w:rPr>
          <w:rFonts w:cs="Times New Roman"/>
          <w:b/>
          <w:sz w:val="24"/>
          <w:lang w:val="en-US"/>
        </w:rPr>
        <w:t>Phenolic</w:t>
      </w:r>
      <w:r w:rsidRPr="00C26383">
        <w:rPr>
          <w:rFonts w:cs="Times New Roman"/>
          <w:b/>
          <w:sz w:val="24"/>
          <w:lang w:val="en-US"/>
        </w:rPr>
        <w:t xml:space="preserve"> co</w:t>
      </w:r>
      <w:r>
        <w:rPr>
          <w:rFonts w:cs="Times New Roman"/>
          <w:b/>
          <w:sz w:val="24"/>
          <w:lang w:val="en-US"/>
        </w:rPr>
        <w:t>mposition and biological activity</w:t>
      </w:r>
      <w:r w:rsidRPr="00C26383">
        <w:rPr>
          <w:rFonts w:cs="Times New Roman"/>
          <w:b/>
          <w:sz w:val="24"/>
          <w:lang w:val="en-US"/>
        </w:rPr>
        <w:t xml:space="preserve"> of endophytic fungi</w:t>
      </w:r>
      <w:r>
        <w:rPr>
          <w:rFonts w:cs="Times New Roman"/>
          <w:b/>
          <w:sz w:val="24"/>
          <w:lang w:val="en-US"/>
        </w:rPr>
        <w:t xml:space="preserve"> isolates inhabited</w:t>
      </w:r>
      <w:r w:rsidRPr="00C26383">
        <w:rPr>
          <w:rFonts w:cs="Times New Roman"/>
          <w:b/>
          <w:sz w:val="24"/>
          <w:lang w:val="en-US"/>
        </w:rPr>
        <w:t xml:space="preserve"> </w:t>
      </w:r>
      <w:r w:rsidRPr="00C26383">
        <w:rPr>
          <w:rFonts w:cs="Times New Roman"/>
          <w:b/>
          <w:i/>
          <w:sz w:val="24"/>
          <w:lang w:val="en-US"/>
        </w:rPr>
        <w:t xml:space="preserve">Acacia </w:t>
      </w:r>
      <w:proofErr w:type="spellStart"/>
      <w:r w:rsidRPr="00C26383">
        <w:rPr>
          <w:rFonts w:cs="Times New Roman"/>
          <w:b/>
          <w:i/>
          <w:sz w:val="24"/>
          <w:lang w:val="en-US"/>
        </w:rPr>
        <w:t>nilotica</w:t>
      </w:r>
      <w:proofErr w:type="spellEnd"/>
    </w:p>
    <w:p w:rsidR="003D6BCD" w:rsidRDefault="003D6BCD" w:rsidP="003D6BCD">
      <w:pPr>
        <w:jc w:val="center"/>
        <w:rPr>
          <w:rFonts w:cs="Times New Roman"/>
          <w:sz w:val="24"/>
          <w:vertAlign w:val="superscript"/>
          <w:lang w:val="en-US"/>
        </w:rPr>
      </w:pPr>
      <w:r w:rsidRPr="00C26383">
        <w:rPr>
          <w:rFonts w:cs="Times New Roman"/>
          <w:sz w:val="24"/>
          <w:lang w:val="en-US"/>
        </w:rPr>
        <w:t>Elham A. M. Kheir</w:t>
      </w:r>
      <w:r w:rsidRPr="00C26383">
        <w:rPr>
          <w:rFonts w:cs="Times New Roman"/>
          <w:sz w:val="24"/>
          <w:vertAlign w:val="superscript"/>
          <w:lang w:val="en-US"/>
        </w:rPr>
        <w:t>1,2</w:t>
      </w:r>
      <w:r w:rsidRPr="00C26383">
        <w:rPr>
          <w:rFonts w:cs="Times New Roman"/>
          <w:sz w:val="24"/>
          <w:lang w:val="en-US"/>
        </w:rPr>
        <w:t>, Adil A. Elhussein</w:t>
      </w:r>
      <w:r w:rsidRPr="00C26383">
        <w:rPr>
          <w:rFonts w:cs="Times New Roman"/>
          <w:sz w:val="24"/>
          <w:vertAlign w:val="superscript"/>
          <w:lang w:val="en-US"/>
        </w:rPr>
        <w:t>1</w:t>
      </w:r>
      <w:r>
        <w:rPr>
          <w:rFonts w:cs="Times New Roman"/>
          <w:sz w:val="24"/>
          <w:lang w:val="en-US"/>
        </w:rPr>
        <w:t>, Gihan O. M; El hassan</w:t>
      </w:r>
      <w:r w:rsidRPr="00C26383">
        <w:rPr>
          <w:rFonts w:cs="Times New Roman"/>
          <w:sz w:val="24"/>
          <w:vertAlign w:val="superscript"/>
          <w:lang w:val="en-US"/>
        </w:rPr>
        <w:t>1</w:t>
      </w:r>
      <w:r w:rsidRPr="00C26383">
        <w:rPr>
          <w:rFonts w:cs="Times New Roman"/>
          <w:sz w:val="24"/>
          <w:lang w:val="en-US"/>
        </w:rPr>
        <w:t>, Sakina Yagi</w:t>
      </w:r>
      <w:r w:rsidRPr="00C26383">
        <w:rPr>
          <w:rFonts w:cs="Times New Roman"/>
          <w:sz w:val="24"/>
          <w:vertAlign w:val="superscript"/>
          <w:lang w:val="en-US"/>
        </w:rPr>
        <w:t>1</w:t>
      </w:r>
      <w:r>
        <w:rPr>
          <w:rFonts w:cs="Times New Roman"/>
          <w:sz w:val="24"/>
          <w:vertAlign w:val="superscript"/>
          <w:lang w:val="en-US"/>
        </w:rPr>
        <w:t>*</w:t>
      </w:r>
    </w:p>
    <w:p w:rsidR="003D6BCD" w:rsidRDefault="003D6BCD" w:rsidP="003D6BCD">
      <w:pPr>
        <w:jc w:val="center"/>
        <w:rPr>
          <w:rFonts w:cs="Times New Roman"/>
          <w:sz w:val="24"/>
          <w:lang w:val="en-US"/>
        </w:rPr>
      </w:pPr>
      <w:r w:rsidRPr="00CE0A9F">
        <w:rPr>
          <w:rFonts w:cs="Times New Roman"/>
          <w:sz w:val="24"/>
          <w:vertAlign w:val="superscript"/>
          <w:lang w:val="en-US"/>
        </w:rPr>
        <w:t>1</w:t>
      </w:r>
      <w:r w:rsidRPr="00CE0A9F">
        <w:rPr>
          <w:rFonts w:cs="Times New Roman"/>
          <w:sz w:val="24"/>
          <w:lang w:val="en-US"/>
        </w:rPr>
        <w:t>Department of Botany, Faculty of Science, University of Khartoum, Khartoum, Sudan</w:t>
      </w:r>
    </w:p>
    <w:p w:rsidR="003D6BCD" w:rsidRDefault="003D6BCD" w:rsidP="003D6BCD">
      <w:pPr>
        <w:jc w:val="center"/>
        <w:rPr>
          <w:rFonts w:cs="Times New Roman"/>
          <w:sz w:val="24"/>
          <w:lang w:val="en-US"/>
        </w:rPr>
      </w:pPr>
      <w:r w:rsidRPr="00CE0A9F">
        <w:rPr>
          <w:rFonts w:cs="Times New Roman"/>
          <w:sz w:val="24"/>
          <w:vertAlign w:val="superscript"/>
          <w:lang w:val="en-US"/>
        </w:rPr>
        <w:t>2</w:t>
      </w:r>
      <w:r>
        <w:rPr>
          <w:rFonts w:cs="Times New Roman"/>
          <w:sz w:val="24"/>
          <w:lang w:val="en-US"/>
        </w:rPr>
        <w:t>Ahfad Centre for Science and Technology (</w:t>
      </w:r>
      <w:proofErr w:type="spellStart"/>
      <w:r>
        <w:rPr>
          <w:rFonts w:cs="Times New Roman"/>
          <w:sz w:val="24"/>
          <w:lang w:val="en-US"/>
        </w:rPr>
        <w:t>ACScT</w:t>
      </w:r>
      <w:proofErr w:type="spellEnd"/>
      <w:r>
        <w:rPr>
          <w:rFonts w:cs="Times New Roman"/>
          <w:sz w:val="24"/>
          <w:lang w:val="en-US"/>
        </w:rPr>
        <w:t xml:space="preserve">), </w:t>
      </w:r>
      <w:proofErr w:type="spellStart"/>
      <w:r>
        <w:rPr>
          <w:rFonts w:cs="Times New Roman"/>
          <w:sz w:val="24"/>
          <w:lang w:val="en-US"/>
        </w:rPr>
        <w:t>Ahfad</w:t>
      </w:r>
      <w:proofErr w:type="spellEnd"/>
      <w:r>
        <w:rPr>
          <w:rFonts w:cs="Times New Roman"/>
          <w:sz w:val="24"/>
          <w:lang w:val="en-US"/>
        </w:rPr>
        <w:t xml:space="preserve"> University for Women, </w:t>
      </w:r>
      <w:r w:rsidRPr="00CE0A9F">
        <w:rPr>
          <w:rFonts w:cs="Times New Roman"/>
          <w:sz w:val="24"/>
          <w:lang w:val="en-US"/>
        </w:rPr>
        <w:t>Khartoum, Sudan</w:t>
      </w:r>
    </w:p>
    <w:p w:rsidR="003D6BCD" w:rsidRPr="00CE0A9F" w:rsidRDefault="003D6BCD" w:rsidP="003D6BCD">
      <w:pPr>
        <w:jc w:val="center"/>
        <w:rPr>
          <w:rFonts w:cs="Times New Roman"/>
          <w:sz w:val="24"/>
          <w:lang w:val="en-US"/>
        </w:rPr>
      </w:pPr>
      <w:r>
        <w:rPr>
          <w:rFonts w:cs="Times New Roman"/>
          <w:sz w:val="24"/>
          <w:lang w:val="en-US"/>
        </w:rPr>
        <w:t>*Corresponding author email: sakinayagi@gmail.com</w:t>
      </w:r>
    </w:p>
    <w:p w:rsidR="003D6BCD" w:rsidRPr="00C26383" w:rsidRDefault="003D6BCD" w:rsidP="00D9544B">
      <w:pPr>
        <w:jc w:val="center"/>
        <w:rPr>
          <w:rFonts w:cs="Times New Roman"/>
          <w:b/>
          <w:sz w:val="24"/>
          <w:lang w:val="en-US"/>
        </w:rPr>
      </w:pPr>
    </w:p>
    <w:p w:rsidR="00D9544B" w:rsidRPr="00F7541A" w:rsidRDefault="00EB7147" w:rsidP="00EB7147">
      <w:pPr>
        <w:rPr>
          <w:b/>
          <w:sz w:val="24"/>
          <w:lang w:val="en-US"/>
        </w:rPr>
      </w:pPr>
      <w:r w:rsidRPr="00F7541A">
        <w:rPr>
          <w:b/>
          <w:sz w:val="24"/>
          <w:lang w:val="en-US"/>
        </w:rPr>
        <w:t>S1: Detailed experiments</w:t>
      </w:r>
    </w:p>
    <w:p w:rsidR="00EB7147" w:rsidRPr="00EB7147" w:rsidRDefault="00EB7147" w:rsidP="00EB7147">
      <w:pPr>
        <w:rPr>
          <w:rFonts w:cs="Times New Roman"/>
          <w:b/>
          <w:sz w:val="24"/>
          <w:lang w:val="en-US"/>
        </w:rPr>
      </w:pPr>
      <w:r w:rsidRPr="00EB7147">
        <w:rPr>
          <w:rFonts w:cs="Times New Roman"/>
          <w:b/>
          <w:sz w:val="24"/>
          <w:lang w:val="en-US"/>
        </w:rPr>
        <w:t xml:space="preserve">Determination of total phenolic content </w:t>
      </w:r>
    </w:p>
    <w:p w:rsidR="00EB7147" w:rsidRPr="00EB7147" w:rsidRDefault="00EB7147" w:rsidP="00EB7147">
      <w:pPr>
        <w:rPr>
          <w:rFonts w:cs="Times New Roman"/>
          <w:sz w:val="24"/>
          <w:lang w:val="en-US"/>
        </w:rPr>
      </w:pPr>
      <w:r w:rsidRPr="00EB7147">
        <w:rPr>
          <w:rFonts w:cs="Times New Roman"/>
          <w:sz w:val="24"/>
          <w:lang w:val="en-US"/>
        </w:rPr>
        <w:t xml:space="preserve">The total phenolic content was determined by adopting the method described by Wolfe et al. (2003). The extract (1 mg/mL) was taken in a 10 mL glass tube and made up to a volume of 3 mL with ethanol. Then, 0.5 mL </w:t>
      </w:r>
      <w:proofErr w:type="spellStart"/>
      <w:r w:rsidRPr="00EB7147">
        <w:rPr>
          <w:rFonts w:cs="Times New Roman"/>
          <w:sz w:val="24"/>
          <w:lang w:val="en-US"/>
        </w:rPr>
        <w:t>Folin</w:t>
      </w:r>
      <w:proofErr w:type="spellEnd"/>
      <w:r w:rsidRPr="00EB7147">
        <w:rPr>
          <w:rFonts w:cs="Times New Roman"/>
          <w:sz w:val="24"/>
          <w:lang w:val="en-US"/>
        </w:rPr>
        <w:t xml:space="preserve"> </w:t>
      </w:r>
      <w:proofErr w:type="spellStart"/>
      <w:r w:rsidRPr="00EB7147">
        <w:rPr>
          <w:rFonts w:cs="Times New Roman"/>
          <w:sz w:val="24"/>
          <w:lang w:val="en-US"/>
        </w:rPr>
        <w:t>Ciocalteau</w:t>
      </w:r>
      <w:proofErr w:type="spellEnd"/>
      <w:r w:rsidRPr="00EB7147">
        <w:rPr>
          <w:rFonts w:cs="Times New Roman"/>
          <w:sz w:val="24"/>
          <w:lang w:val="en-US"/>
        </w:rPr>
        <w:t xml:space="preserve"> reagent (1:1 with water) and 4 mL sodium carbonate (7.5%) were added sequentially in each tube. The test solution was kept in dark for 30 min, then cooled and absorbance was measured at 765 nm by Shimadzu model 1800 double beam spectrophotometer. Total phenolic content was expressed as mg gallic acid equivalents (GAE)/mg dry weight using the following equation based on the calibration curve: Y = 14.69x + 0.237, R</w:t>
      </w:r>
      <w:r w:rsidRPr="00EB7147">
        <w:rPr>
          <w:rFonts w:cs="Times New Roman"/>
          <w:sz w:val="24"/>
          <w:vertAlign w:val="superscript"/>
          <w:lang w:val="en-US"/>
        </w:rPr>
        <w:t>2</w:t>
      </w:r>
      <w:r w:rsidRPr="00EB7147">
        <w:rPr>
          <w:rFonts w:cs="Times New Roman"/>
          <w:sz w:val="24"/>
          <w:lang w:val="en-US"/>
        </w:rPr>
        <w:t xml:space="preserve"> = 0.988. </w:t>
      </w:r>
    </w:p>
    <w:p w:rsidR="00EB7147" w:rsidRPr="00EB7147" w:rsidRDefault="00EB7147" w:rsidP="00EB7147">
      <w:pPr>
        <w:rPr>
          <w:rFonts w:cs="Times New Roman"/>
          <w:b/>
          <w:sz w:val="24"/>
          <w:lang w:val="en-US"/>
        </w:rPr>
      </w:pPr>
      <w:r w:rsidRPr="00EB7147">
        <w:rPr>
          <w:rFonts w:cs="Times New Roman"/>
          <w:b/>
          <w:sz w:val="24"/>
          <w:lang w:val="en-US"/>
        </w:rPr>
        <w:t xml:space="preserve">Determination of total flavonoids content </w:t>
      </w:r>
    </w:p>
    <w:p w:rsidR="00EB7147" w:rsidRPr="00EB7147" w:rsidRDefault="00EB7147" w:rsidP="00EB7147">
      <w:pPr>
        <w:rPr>
          <w:rFonts w:cs="Times New Roman"/>
          <w:sz w:val="24"/>
          <w:lang w:val="en-US"/>
        </w:rPr>
      </w:pPr>
      <w:r w:rsidRPr="00EB7147">
        <w:rPr>
          <w:rFonts w:cs="Times New Roman"/>
          <w:sz w:val="24"/>
          <w:lang w:val="en-US"/>
        </w:rPr>
        <w:t xml:space="preserve">The total flavonoids content was determined by adopting the method described by </w:t>
      </w:r>
      <w:proofErr w:type="spellStart"/>
      <w:r w:rsidRPr="00EB7147">
        <w:rPr>
          <w:rFonts w:cs="Times New Roman"/>
          <w:sz w:val="24"/>
          <w:lang w:val="en-US"/>
        </w:rPr>
        <w:t>Ordoñez</w:t>
      </w:r>
      <w:proofErr w:type="spellEnd"/>
      <w:r w:rsidRPr="00EB7147">
        <w:rPr>
          <w:rFonts w:cs="Times New Roman"/>
          <w:sz w:val="24"/>
          <w:lang w:val="en-US"/>
        </w:rPr>
        <w:t xml:space="preserve"> et al. (2006). Aliquots of each extract was pipetted out in series of test tubes and volume was made up to 2 mL with ethanol. Then, 0.3 mL of sodium nitrite (5%) was added to each tube and incubated for 5 min at room temperature. 0.3 mL of aluminum chloride solution (10%) was added and incubated for 5 min and then 2 mL of sodium hydroxide (1 M) were added. Absorbance was measured at 415 nm against a reagent blank. Total flavonoids content was </w:t>
      </w:r>
      <w:r w:rsidRPr="00EB7147">
        <w:rPr>
          <w:rFonts w:cs="Times New Roman"/>
          <w:sz w:val="24"/>
          <w:lang w:val="en-US"/>
        </w:rPr>
        <w:lastRenderedPageBreak/>
        <w:t>expressed as mg quercetin equivalents (QE) /mg dry weight using the following equation based on the calibration curve: Y = 7.955x + 0.036, R</w:t>
      </w:r>
      <w:r w:rsidRPr="00EB7147">
        <w:rPr>
          <w:rFonts w:cs="Times New Roman"/>
          <w:sz w:val="24"/>
          <w:vertAlign w:val="superscript"/>
          <w:lang w:val="en-US"/>
        </w:rPr>
        <w:t>2</w:t>
      </w:r>
      <w:r w:rsidRPr="00EB7147">
        <w:rPr>
          <w:rFonts w:cs="Times New Roman"/>
          <w:sz w:val="24"/>
          <w:lang w:val="en-US"/>
        </w:rPr>
        <w:t xml:space="preserve"> = 0.979.</w:t>
      </w:r>
    </w:p>
    <w:p w:rsidR="00EB7147" w:rsidRPr="00EB7147" w:rsidRDefault="00EB7147" w:rsidP="00EB7147">
      <w:pPr>
        <w:rPr>
          <w:rFonts w:cs="Times New Roman"/>
          <w:b/>
          <w:sz w:val="24"/>
          <w:lang w:val="en-US"/>
        </w:rPr>
      </w:pPr>
      <w:r w:rsidRPr="00EB7147">
        <w:rPr>
          <w:rFonts w:cs="Times New Roman"/>
          <w:b/>
          <w:sz w:val="24"/>
          <w:lang w:val="en-US"/>
        </w:rPr>
        <w:t>Determination of total tannins content</w:t>
      </w:r>
    </w:p>
    <w:p w:rsidR="00EB7147" w:rsidRPr="00EB7147" w:rsidRDefault="00EB7147" w:rsidP="00EB7147">
      <w:pPr>
        <w:rPr>
          <w:rFonts w:cs="Times New Roman"/>
          <w:sz w:val="24"/>
          <w:lang w:val="en-US"/>
        </w:rPr>
      </w:pPr>
      <w:r w:rsidRPr="00EB7147">
        <w:rPr>
          <w:rFonts w:cs="Times New Roman"/>
          <w:sz w:val="24"/>
          <w:lang w:val="en-US"/>
        </w:rPr>
        <w:t>Total tannins content was determined according to the procedure reported by Sun et al. (1998). A volume of 1 mL solution was mixed with 3 mL of 4% vanillin/methanol solution and 1.5 mL hydrochloric acid and the mixture was allowed to stand for 15 min at room temperature. The absorbance at 500 nm was measured and the total tannins content was expressed as mg tannic acid equivalents (TAE) /g dry weight using the following equation based on the calibration curve: Y = 0.3889× + 0.1447, R</w:t>
      </w:r>
      <w:r w:rsidRPr="00EB7147">
        <w:rPr>
          <w:rFonts w:cs="Times New Roman"/>
          <w:sz w:val="24"/>
          <w:vertAlign w:val="superscript"/>
          <w:lang w:val="en-US"/>
        </w:rPr>
        <w:t>2</w:t>
      </w:r>
      <w:r w:rsidRPr="00EB7147">
        <w:rPr>
          <w:rFonts w:cs="Times New Roman"/>
          <w:sz w:val="24"/>
          <w:lang w:val="en-US"/>
        </w:rPr>
        <w:t xml:space="preserve"> =0.9934.</w:t>
      </w:r>
    </w:p>
    <w:p w:rsidR="00EB7147" w:rsidRPr="00EB7147" w:rsidRDefault="00EB7147" w:rsidP="00EB7147">
      <w:pPr>
        <w:rPr>
          <w:rFonts w:cs="Times New Roman"/>
          <w:b/>
          <w:sz w:val="24"/>
          <w:lang w:val="en-US"/>
        </w:rPr>
      </w:pPr>
      <w:r w:rsidRPr="00EB7147">
        <w:rPr>
          <w:rFonts w:cs="Times New Roman"/>
          <w:b/>
          <w:sz w:val="24"/>
          <w:lang w:val="en-US"/>
        </w:rPr>
        <w:t>High performance liquid chromatography (HPLC) analysis</w:t>
      </w:r>
    </w:p>
    <w:p w:rsidR="00EB7147" w:rsidRPr="00EB7147" w:rsidRDefault="00EB7147" w:rsidP="00EB7147">
      <w:pPr>
        <w:rPr>
          <w:rFonts w:cs="Times New Roman"/>
          <w:sz w:val="24"/>
          <w:lang w:val="en-US"/>
        </w:rPr>
      </w:pPr>
      <w:r w:rsidRPr="00EB7147">
        <w:rPr>
          <w:rFonts w:cs="Times New Roman"/>
          <w:sz w:val="24"/>
          <w:lang w:val="en-US"/>
        </w:rPr>
        <w:t xml:space="preserve">Phenolic profile of different extracts was determined by HPLC-DAD analysis (Shimadzu Scientific Instruments, Kyoto, Japan). The stationery phase for the analysis was Eclipse XDB C-18 reversed- phase column (250 × 4.6 mm length, 5 </w:t>
      </w:r>
      <w:proofErr w:type="spellStart"/>
      <w:r w:rsidRPr="00EB7147">
        <w:rPr>
          <w:rFonts w:cs="Times New Roman"/>
          <w:sz w:val="24"/>
          <w:lang w:val="en-US"/>
        </w:rPr>
        <w:t>μm</w:t>
      </w:r>
      <w:proofErr w:type="spellEnd"/>
      <w:r w:rsidRPr="00EB7147">
        <w:rPr>
          <w:rFonts w:cs="Times New Roman"/>
          <w:sz w:val="24"/>
          <w:lang w:val="en-US"/>
        </w:rPr>
        <w:t xml:space="preserve"> particle size, Agilent, Santa Clara, CA, USA) and it was set up at 30 °C. All details for the HPLC analysis were given in a previous study (</w:t>
      </w:r>
      <w:proofErr w:type="spellStart"/>
      <w:r w:rsidRPr="00EB7147">
        <w:rPr>
          <w:rFonts w:cs="Times New Roman"/>
          <w:sz w:val="24"/>
          <w:lang w:val="en-US"/>
        </w:rPr>
        <w:t>Movahhedin</w:t>
      </w:r>
      <w:proofErr w:type="spellEnd"/>
      <w:r w:rsidRPr="00EB7147">
        <w:rPr>
          <w:rFonts w:cs="Times New Roman"/>
          <w:sz w:val="24"/>
          <w:lang w:val="en-US"/>
        </w:rPr>
        <w:t xml:space="preserve"> et al., 2016). The phenolic compounds were identified and quantified (</w:t>
      </w:r>
      <w:proofErr w:type="spellStart"/>
      <w:r w:rsidRPr="00EB7147">
        <w:rPr>
          <w:rFonts w:cs="Times New Roman"/>
          <w:sz w:val="24"/>
          <w:lang w:val="en-US"/>
        </w:rPr>
        <w:t>μg</w:t>
      </w:r>
      <w:proofErr w:type="spellEnd"/>
      <w:r w:rsidRPr="00EB7147">
        <w:rPr>
          <w:rFonts w:cs="Times New Roman"/>
          <w:sz w:val="24"/>
          <w:lang w:val="en-US"/>
        </w:rPr>
        <w:t>/g extracts) with comparison standards retention times and UV–Vis spectra.</w:t>
      </w:r>
    </w:p>
    <w:p w:rsidR="00EB7147" w:rsidRPr="00EB7147" w:rsidRDefault="00EB7147" w:rsidP="00EB7147">
      <w:pPr>
        <w:rPr>
          <w:rFonts w:cs="Times New Roman"/>
          <w:b/>
          <w:sz w:val="24"/>
          <w:lang w:val="en-US"/>
        </w:rPr>
      </w:pPr>
      <w:r w:rsidRPr="00EB7147">
        <w:rPr>
          <w:rFonts w:cs="Times New Roman"/>
          <w:b/>
          <w:sz w:val="24"/>
          <w:lang w:val="en-US"/>
        </w:rPr>
        <w:t>Antimicrobial activity</w:t>
      </w:r>
    </w:p>
    <w:p w:rsidR="00EB7147" w:rsidRPr="00EB7147" w:rsidRDefault="00EB7147" w:rsidP="00EB7147">
      <w:pPr>
        <w:rPr>
          <w:rFonts w:cs="Times New Roman"/>
          <w:sz w:val="24"/>
          <w:lang w:val="en-US"/>
        </w:rPr>
      </w:pPr>
      <w:r w:rsidRPr="00EB7147">
        <w:rPr>
          <w:rFonts w:cs="Times New Roman"/>
          <w:sz w:val="24"/>
          <w:lang w:val="en-US"/>
        </w:rPr>
        <w:t xml:space="preserve">Antibacterial activity was performed against the Gram positive </w:t>
      </w:r>
      <w:r w:rsidRPr="00EB7147">
        <w:rPr>
          <w:rFonts w:cs="Times New Roman"/>
          <w:i/>
          <w:sz w:val="24"/>
          <w:lang w:val="en-US"/>
        </w:rPr>
        <w:t xml:space="preserve">Bacillus </w:t>
      </w:r>
      <w:proofErr w:type="spellStart"/>
      <w:r w:rsidRPr="00EB7147">
        <w:rPr>
          <w:rFonts w:cs="Times New Roman"/>
          <w:i/>
          <w:sz w:val="24"/>
          <w:lang w:val="en-US"/>
        </w:rPr>
        <w:t>subtillis</w:t>
      </w:r>
      <w:proofErr w:type="spellEnd"/>
      <w:r w:rsidRPr="00EB7147">
        <w:rPr>
          <w:rFonts w:cs="Times New Roman"/>
          <w:sz w:val="24"/>
          <w:lang w:val="en-US"/>
        </w:rPr>
        <w:t xml:space="preserve"> (ATCC19430) and </w:t>
      </w:r>
      <w:r w:rsidRPr="00EB7147">
        <w:rPr>
          <w:rFonts w:cs="Times New Roman"/>
          <w:i/>
          <w:sz w:val="24"/>
          <w:lang w:val="en-US"/>
        </w:rPr>
        <w:t>Staphylococcus aureus</w:t>
      </w:r>
      <w:r w:rsidRPr="00EB7147">
        <w:rPr>
          <w:rFonts w:cs="Times New Roman"/>
          <w:sz w:val="24"/>
          <w:lang w:val="en-US"/>
        </w:rPr>
        <w:t xml:space="preserve"> (ATCC 25923) and Gram-negative </w:t>
      </w:r>
      <w:r w:rsidRPr="00EB7147">
        <w:rPr>
          <w:rFonts w:cs="Times New Roman"/>
          <w:i/>
          <w:sz w:val="24"/>
          <w:lang w:val="en-US"/>
        </w:rPr>
        <w:t>Escherichia coli</w:t>
      </w:r>
      <w:r w:rsidRPr="00EB7147">
        <w:rPr>
          <w:rFonts w:cs="Times New Roman"/>
          <w:sz w:val="24"/>
          <w:lang w:val="en-US"/>
        </w:rPr>
        <w:t xml:space="preserve"> (ATCC 25922) and </w:t>
      </w:r>
      <w:r w:rsidRPr="00EB7147">
        <w:rPr>
          <w:rFonts w:cs="Times New Roman"/>
          <w:i/>
          <w:sz w:val="24"/>
          <w:lang w:val="en-US"/>
        </w:rPr>
        <w:t>Pseudomonas aeruginosa</w:t>
      </w:r>
      <w:r w:rsidRPr="00EB7147">
        <w:rPr>
          <w:rFonts w:cs="Times New Roman"/>
          <w:sz w:val="24"/>
          <w:lang w:val="en-US"/>
        </w:rPr>
        <w:t xml:space="preserve"> (ATCC27853) following the method described by </w:t>
      </w:r>
      <w:proofErr w:type="spellStart"/>
      <w:r w:rsidRPr="00EB7147">
        <w:rPr>
          <w:rFonts w:cs="Times New Roman"/>
          <w:sz w:val="24"/>
          <w:lang w:val="en-US"/>
        </w:rPr>
        <w:t>Mbavenge</w:t>
      </w:r>
      <w:proofErr w:type="spellEnd"/>
      <w:r w:rsidRPr="00EB7147">
        <w:rPr>
          <w:rFonts w:cs="Times New Roman"/>
          <w:sz w:val="24"/>
          <w:lang w:val="en-US"/>
        </w:rPr>
        <w:t xml:space="preserve"> et al. (2008). Antifungal activity was performed against </w:t>
      </w:r>
      <w:r w:rsidRPr="00EB7147">
        <w:rPr>
          <w:rFonts w:cs="Times New Roman"/>
          <w:i/>
          <w:sz w:val="24"/>
          <w:lang w:val="en-US"/>
        </w:rPr>
        <w:t xml:space="preserve">Candida </w:t>
      </w:r>
      <w:proofErr w:type="spellStart"/>
      <w:r w:rsidRPr="00EB7147">
        <w:rPr>
          <w:rFonts w:cs="Times New Roman"/>
          <w:i/>
          <w:sz w:val="24"/>
          <w:lang w:val="en-US"/>
        </w:rPr>
        <w:t>albicans</w:t>
      </w:r>
      <w:proofErr w:type="spellEnd"/>
      <w:r w:rsidRPr="00EB7147">
        <w:rPr>
          <w:rFonts w:cs="Times New Roman"/>
          <w:sz w:val="24"/>
          <w:lang w:val="en-US"/>
        </w:rPr>
        <w:t xml:space="preserve"> (ATCC7596) and </w:t>
      </w:r>
      <w:r w:rsidRPr="00EB7147">
        <w:rPr>
          <w:rFonts w:cs="Times New Roman"/>
          <w:i/>
          <w:sz w:val="24"/>
          <w:lang w:val="en-US"/>
        </w:rPr>
        <w:t xml:space="preserve">Aspergillus </w:t>
      </w:r>
      <w:proofErr w:type="spellStart"/>
      <w:r w:rsidRPr="00EB7147">
        <w:rPr>
          <w:rFonts w:cs="Times New Roman"/>
          <w:i/>
          <w:sz w:val="24"/>
          <w:lang w:val="en-US"/>
        </w:rPr>
        <w:t>niger</w:t>
      </w:r>
      <w:proofErr w:type="spellEnd"/>
      <w:r w:rsidRPr="00EB7147">
        <w:rPr>
          <w:rFonts w:cs="Times New Roman"/>
          <w:sz w:val="24"/>
          <w:lang w:val="en-US"/>
        </w:rPr>
        <w:t xml:space="preserve"> (ATCC9763) using the method described by </w:t>
      </w:r>
      <w:proofErr w:type="spellStart"/>
      <w:r w:rsidRPr="00EB7147">
        <w:rPr>
          <w:rFonts w:cs="Times New Roman"/>
          <w:sz w:val="24"/>
          <w:lang w:val="en-US"/>
        </w:rPr>
        <w:t>Mothana</w:t>
      </w:r>
      <w:proofErr w:type="spellEnd"/>
      <w:r w:rsidRPr="00EB7147">
        <w:rPr>
          <w:rFonts w:cs="Times New Roman"/>
          <w:sz w:val="24"/>
          <w:lang w:val="en-US"/>
        </w:rPr>
        <w:t xml:space="preserve"> and </w:t>
      </w:r>
      <w:proofErr w:type="spellStart"/>
      <w:r w:rsidRPr="00EB7147">
        <w:rPr>
          <w:rFonts w:cs="Times New Roman"/>
          <w:sz w:val="24"/>
          <w:lang w:val="en-US"/>
        </w:rPr>
        <w:t>Lindequist</w:t>
      </w:r>
      <w:proofErr w:type="spellEnd"/>
      <w:r w:rsidRPr="00EB7147">
        <w:rPr>
          <w:rFonts w:cs="Times New Roman"/>
          <w:sz w:val="24"/>
          <w:lang w:val="en-US"/>
        </w:rPr>
        <w:t xml:space="preserve"> (2005). Gentamicin and Nystatin were the positive controls and dimethyl sulfoxide (DMSO) was the negative control. In brief, samples were dissolved in dimethyl sulfoxide (DMSO) with a concentration of 0.1 g/</w:t>
      </w:r>
      <w:proofErr w:type="spellStart"/>
      <w:r w:rsidRPr="00EB7147">
        <w:rPr>
          <w:rFonts w:cs="Times New Roman"/>
          <w:sz w:val="24"/>
          <w:lang w:val="en-US"/>
        </w:rPr>
        <w:t>mL.</w:t>
      </w:r>
      <w:proofErr w:type="spellEnd"/>
      <w:r w:rsidRPr="00EB7147">
        <w:rPr>
          <w:rFonts w:cs="Times New Roman"/>
          <w:sz w:val="24"/>
          <w:lang w:val="en-US"/>
        </w:rPr>
        <w:t xml:space="preserve"> Paper discs (6 mm in diameter) were impregnated with 30 </w:t>
      </w:r>
      <w:proofErr w:type="spellStart"/>
      <w:r w:rsidRPr="00EB7147">
        <w:rPr>
          <w:rFonts w:cs="Times New Roman"/>
          <w:sz w:val="24"/>
          <w:lang w:val="en-US"/>
        </w:rPr>
        <w:t>μL</w:t>
      </w:r>
      <w:proofErr w:type="spellEnd"/>
      <w:r w:rsidRPr="00EB7147">
        <w:rPr>
          <w:rFonts w:cs="Times New Roman"/>
          <w:sz w:val="24"/>
          <w:lang w:val="en-US"/>
        </w:rPr>
        <w:t xml:space="preserve"> of extracts and placed on Mueller Hinton (MH) agar and </w:t>
      </w:r>
      <w:proofErr w:type="spellStart"/>
      <w:r w:rsidRPr="00EB7147">
        <w:rPr>
          <w:rFonts w:cs="Times New Roman"/>
          <w:sz w:val="24"/>
          <w:lang w:val="en-US"/>
        </w:rPr>
        <w:t>Sabouraud</w:t>
      </w:r>
      <w:proofErr w:type="spellEnd"/>
      <w:r w:rsidRPr="00EB7147">
        <w:rPr>
          <w:rFonts w:cs="Times New Roman"/>
          <w:sz w:val="24"/>
          <w:lang w:val="en-US"/>
        </w:rPr>
        <w:t xml:space="preserve"> Dextrose Agar (SDA) plates. The zones of growth inhibition around the disks were measured after 18 to 24 hours of incubation at 37°C for bacteria and 48 to 96 hours for fungi at 28°C. </w:t>
      </w:r>
    </w:p>
    <w:p w:rsidR="00EB7147" w:rsidRPr="00EB7147" w:rsidRDefault="00EB7147" w:rsidP="00EB7147">
      <w:pPr>
        <w:rPr>
          <w:rFonts w:cs="Times New Roman"/>
          <w:b/>
          <w:sz w:val="24"/>
          <w:lang w:val="en-US"/>
        </w:rPr>
      </w:pPr>
      <w:r w:rsidRPr="00EB7147">
        <w:rPr>
          <w:rFonts w:cs="Times New Roman"/>
          <w:b/>
          <w:sz w:val="24"/>
          <w:lang w:val="en-US"/>
        </w:rPr>
        <w:t>Radical scavenging activity</w:t>
      </w:r>
    </w:p>
    <w:p w:rsidR="00EB7147" w:rsidRPr="00EB7147" w:rsidRDefault="00EB7147" w:rsidP="00EB7147">
      <w:pPr>
        <w:rPr>
          <w:rFonts w:cs="Times New Roman"/>
          <w:sz w:val="24"/>
          <w:lang w:val="en-US"/>
        </w:rPr>
      </w:pPr>
      <w:r w:rsidRPr="00EB7147">
        <w:rPr>
          <w:rFonts w:cs="Times New Roman"/>
          <w:sz w:val="24"/>
          <w:lang w:val="en-US"/>
        </w:rPr>
        <w:lastRenderedPageBreak/>
        <w:t xml:space="preserve">The 1, 1-diphenyl-2-picryl </w:t>
      </w:r>
      <w:proofErr w:type="spellStart"/>
      <w:r w:rsidRPr="00EB7147">
        <w:rPr>
          <w:rFonts w:cs="Times New Roman"/>
          <w:sz w:val="24"/>
          <w:lang w:val="en-US"/>
        </w:rPr>
        <w:t>hydrazyl</w:t>
      </w:r>
      <w:proofErr w:type="spellEnd"/>
      <w:r w:rsidRPr="00EB7147">
        <w:rPr>
          <w:rFonts w:cs="Times New Roman"/>
          <w:sz w:val="24"/>
          <w:lang w:val="en-US"/>
        </w:rPr>
        <w:t xml:space="preserve"> (DPPH) assay was adopted to determine the radical scavenging activity of extracts (</w:t>
      </w:r>
      <w:proofErr w:type="spellStart"/>
      <w:r w:rsidRPr="00EB7147">
        <w:rPr>
          <w:rFonts w:cs="Times New Roman"/>
          <w:sz w:val="24"/>
          <w:lang w:val="en-US"/>
        </w:rPr>
        <w:t>Zengin</w:t>
      </w:r>
      <w:proofErr w:type="spellEnd"/>
      <w:r w:rsidRPr="00EB7147">
        <w:rPr>
          <w:rFonts w:cs="Times New Roman"/>
          <w:sz w:val="24"/>
          <w:lang w:val="en-US"/>
        </w:rPr>
        <w:t xml:space="preserve"> et al., 2015). Test samples were dissolved separately in 5% dimethyl sulfoxide (DMSO) to get test solution of 1 mg/ml. Series of extract solutions of different concentrations were prepared by diluting with methanol. The assay was performed in 96-well, microtiter plates. 140 µl of 0.6×10</w:t>
      </w:r>
      <w:r w:rsidRPr="00EB7147">
        <w:rPr>
          <w:rFonts w:cs="Times New Roman"/>
          <w:sz w:val="24"/>
          <w:vertAlign w:val="superscript"/>
          <w:lang w:val="en-US"/>
        </w:rPr>
        <w:t>-6</w:t>
      </w:r>
      <w:r w:rsidRPr="00EB7147">
        <w:rPr>
          <w:rFonts w:cs="Times New Roman"/>
          <w:sz w:val="24"/>
          <w:lang w:val="en-US"/>
        </w:rPr>
        <w:t xml:space="preserve"> </w:t>
      </w:r>
      <w:proofErr w:type="spellStart"/>
      <w:r w:rsidRPr="00EB7147">
        <w:rPr>
          <w:rFonts w:cs="Times New Roman"/>
          <w:sz w:val="24"/>
          <w:lang w:val="en-US"/>
        </w:rPr>
        <w:t>mol</w:t>
      </w:r>
      <w:proofErr w:type="spellEnd"/>
      <w:r w:rsidRPr="00EB7147">
        <w:rPr>
          <w:rFonts w:cs="Times New Roman"/>
          <w:sz w:val="24"/>
          <w:lang w:val="en-US"/>
        </w:rPr>
        <w:t xml:space="preserve">/DPPH were added to each well containing 70 µl of sample. The mixture was shaken gently and left to stand for 30 min in dark at room temperature. The absorbance was measured at 517 nm using a microtiter plate reader (Synergy HT </w:t>
      </w:r>
      <w:proofErr w:type="spellStart"/>
      <w:r w:rsidRPr="00EB7147">
        <w:rPr>
          <w:rFonts w:cs="Times New Roman"/>
          <w:sz w:val="24"/>
          <w:lang w:val="en-US"/>
        </w:rPr>
        <w:t>Biotek</w:t>
      </w:r>
      <w:proofErr w:type="spellEnd"/>
      <w:r w:rsidRPr="00EB7147">
        <w:rPr>
          <w:rFonts w:cs="Times New Roman"/>
          <w:sz w:val="24"/>
          <w:lang w:val="en-US"/>
        </w:rPr>
        <w:t xml:space="preserve">®, </w:t>
      </w:r>
      <w:proofErr w:type="spellStart"/>
      <w:r w:rsidRPr="00EB7147">
        <w:rPr>
          <w:rFonts w:cs="Times New Roman"/>
          <w:sz w:val="24"/>
          <w:lang w:val="en-US"/>
        </w:rPr>
        <w:t>logiciel</w:t>
      </w:r>
      <w:proofErr w:type="spellEnd"/>
      <w:r w:rsidRPr="00EB7147">
        <w:rPr>
          <w:rFonts w:cs="Times New Roman"/>
          <w:sz w:val="24"/>
          <w:lang w:val="en-US"/>
        </w:rPr>
        <w:t xml:space="preserve"> GEN5). The ability to scavenge DPPH radical was calculated by the following equation: DPPH radical-scavenging (%) =1- [(</w:t>
      </w:r>
      <w:proofErr w:type="spellStart"/>
      <w:r w:rsidRPr="00EB7147">
        <w:rPr>
          <w:rFonts w:cs="Times New Roman"/>
          <w:sz w:val="24"/>
          <w:lang w:val="en-US"/>
        </w:rPr>
        <w:t>A</w:t>
      </w:r>
      <w:r w:rsidRPr="00EB7147">
        <w:rPr>
          <w:rFonts w:cs="Times New Roman"/>
          <w:sz w:val="24"/>
          <w:vertAlign w:val="subscript"/>
          <w:lang w:val="en-US"/>
        </w:rPr>
        <w:t>blank</w:t>
      </w:r>
      <w:proofErr w:type="spellEnd"/>
      <w:r w:rsidRPr="00EB7147">
        <w:rPr>
          <w:rFonts w:cs="Times New Roman"/>
          <w:sz w:val="24"/>
          <w:lang w:val="en-US"/>
        </w:rPr>
        <w:t xml:space="preserve"> –</w:t>
      </w:r>
      <w:proofErr w:type="spellStart"/>
      <w:r w:rsidRPr="00EB7147">
        <w:rPr>
          <w:rFonts w:cs="Times New Roman"/>
          <w:sz w:val="24"/>
          <w:lang w:val="en-US"/>
        </w:rPr>
        <w:t>A</w:t>
      </w:r>
      <w:r w:rsidRPr="00EB7147">
        <w:rPr>
          <w:rFonts w:cs="Times New Roman"/>
          <w:sz w:val="24"/>
          <w:vertAlign w:val="subscript"/>
          <w:lang w:val="en-US"/>
        </w:rPr>
        <w:t>sample</w:t>
      </w:r>
      <w:proofErr w:type="spellEnd"/>
      <w:r w:rsidRPr="00EB7147">
        <w:rPr>
          <w:rFonts w:cs="Times New Roman"/>
          <w:sz w:val="24"/>
          <w:lang w:val="en-US"/>
        </w:rPr>
        <w:t>)/</w:t>
      </w:r>
      <w:proofErr w:type="spellStart"/>
      <w:r w:rsidRPr="00EB7147">
        <w:rPr>
          <w:rFonts w:cs="Times New Roman"/>
          <w:sz w:val="24"/>
          <w:lang w:val="en-US"/>
        </w:rPr>
        <w:t>A</w:t>
      </w:r>
      <w:r w:rsidRPr="00EB7147">
        <w:rPr>
          <w:rFonts w:cs="Times New Roman"/>
          <w:sz w:val="24"/>
          <w:vertAlign w:val="subscript"/>
          <w:lang w:val="en-US"/>
        </w:rPr>
        <w:t>blank</w:t>
      </w:r>
      <w:proofErr w:type="spellEnd"/>
      <w:r w:rsidRPr="00EB7147">
        <w:rPr>
          <w:rFonts w:cs="Times New Roman"/>
          <w:sz w:val="24"/>
          <w:lang w:val="en-US"/>
        </w:rPr>
        <w:t>] ×100</w:t>
      </w:r>
    </w:p>
    <w:p w:rsidR="00EB7147" w:rsidRPr="00EB7147" w:rsidRDefault="00EB7147" w:rsidP="00EB7147">
      <w:pPr>
        <w:rPr>
          <w:rFonts w:cs="Times New Roman"/>
          <w:sz w:val="24"/>
          <w:lang w:val="en-US"/>
        </w:rPr>
      </w:pPr>
      <w:r w:rsidRPr="00EB7147">
        <w:rPr>
          <w:rFonts w:cs="Times New Roman"/>
          <w:sz w:val="24"/>
          <w:lang w:val="en-US"/>
        </w:rPr>
        <w:t>Where; A blank is the absorbance of the control reaction (containing all reagents except the test sample), and A sample is the absorbance of the extracts/reference. Propyl gallate was used as reference antioxidant compound. The IC</w:t>
      </w:r>
      <w:r w:rsidRPr="00EB7147">
        <w:rPr>
          <w:rFonts w:cs="Times New Roman"/>
          <w:sz w:val="24"/>
          <w:vertAlign w:val="subscript"/>
          <w:lang w:val="en-US"/>
        </w:rPr>
        <w:t>50</w:t>
      </w:r>
      <w:r w:rsidRPr="00EB7147">
        <w:rPr>
          <w:rFonts w:cs="Times New Roman"/>
          <w:sz w:val="24"/>
          <w:lang w:val="en-US"/>
        </w:rPr>
        <w:t xml:space="preserve"> value was calculated from the linear regression of plots of concentration of the test sample against the mean percentage of the antioxidant activity. </w:t>
      </w:r>
    </w:p>
    <w:p w:rsidR="00EB7147" w:rsidRDefault="00EB7147"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Default="00F7541A" w:rsidP="00EB7147">
      <w:pPr>
        <w:rPr>
          <w:sz w:val="24"/>
          <w:lang w:val="en-US"/>
        </w:rPr>
      </w:pPr>
    </w:p>
    <w:p w:rsidR="00F7541A" w:rsidRPr="00D9544B" w:rsidRDefault="00F7541A" w:rsidP="00EB7147">
      <w:pPr>
        <w:rPr>
          <w:sz w:val="24"/>
          <w:lang w:val="en-US"/>
        </w:rPr>
      </w:pPr>
    </w:p>
    <w:p w:rsidR="00945CA6" w:rsidRPr="00F7541A" w:rsidRDefault="00EB7DFA" w:rsidP="003D6BCD">
      <w:pPr>
        <w:jc w:val="center"/>
        <w:rPr>
          <w:b/>
          <w:sz w:val="24"/>
        </w:rPr>
      </w:pPr>
      <w:r w:rsidRPr="00F7541A">
        <w:rPr>
          <w:b/>
          <w:sz w:val="24"/>
        </w:rPr>
        <w:lastRenderedPageBreak/>
        <w:t>S</w:t>
      </w:r>
      <w:r w:rsidR="00EB7147" w:rsidRPr="00F7541A">
        <w:rPr>
          <w:b/>
          <w:sz w:val="24"/>
        </w:rPr>
        <w:t>2</w:t>
      </w:r>
      <w:r w:rsidRPr="00F7541A">
        <w:rPr>
          <w:b/>
          <w:sz w:val="24"/>
        </w:rPr>
        <w:t>: Total ion chromatograms of methanolic extracts of endophytic fungi isolates and organs of host plant (</w:t>
      </w:r>
      <w:r w:rsidRPr="00F7541A">
        <w:rPr>
          <w:b/>
          <w:i/>
          <w:sz w:val="24"/>
        </w:rPr>
        <w:t xml:space="preserve">A. </w:t>
      </w:r>
      <w:proofErr w:type="spellStart"/>
      <w:r w:rsidRPr="00F7541A">
        <w:rPr>
          <w:b/>
          <w:i/>
          <w:sz w:val="24"/>
        </w:rPr>
        <w:t>nilotica</w:t>
      </w:r>
      <w:proofErr w:type="spellEnd"/>
      <w:r w:rsidRPr="00F7541A">
        <w:rPr>
          <w:b/>
          <w:sz w:val="24"/>
        </w:rPr>
        <w:t>).</w:t>
      </w:r>
    </w:p>
    <w:p w:rsidR="00EB7DFA" w:rsidRDefault="00EB7DFA" w:rsidP="00EB7DFA">
      <w:pPr>
        <w:jc w:val="center"/>
      </w:pPr>
      <w:r w:rsidRPr="00EB7DFA">
        <w:rPr>
          <w:noProof/>
        </w:rPr>
        <w:drawing>
          <wp:inline distT="0" distB="0" distL="0" distR="0" wp14:anchorId="50075CF2" wp14:editId="45859B96">
            <wp:extent cx="5756910" cy="3004185"/>
            <wp:effectExtent l="0" t="0" r="0" b="571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56910" cy="3004185"/>
                    </a:xfrm>
                    <a:prstGeom prst="rect">
                      <a:avLst/>
                    </a:prstGeom>
                  </pic:spPr>
                </pic:pic>
              </a:graphicData>
            </a:graphic>
          </wp:inline>
        </w:drawing>
      </w:r>
    </w:p>
    <w:p w:rsidR="00EB7DFA" w:rsidRDefault="00EB7DFA" w:rsidP="00EB7DFA">
      <w:pPr>
        <w:jc w:val="center"/>
      </w:pPr>
      <w:r w:rsidRPr="00EB7DFA">
        <w:rPr>
          <w:noProof/>
        </w:rPr>
        <w:drawing>
          <wp:inline distT="0" distB="0" distL="0" distR="0" wp14:anchorId="581BD497" wp14:editId="0DAD327B">
            <wp:extent cx="5756910" cy="3028950"/>
            <wp:effectExtent l="0" t="0" r="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56910" cy="3028950"/>
                    </a:xfrm>
                    <a:prstGeom prst="rect">
                      <a:avLst/>
                    </a:prstGeom>
                  </pic:spPr>
                </pic:pic>
              </a:graphicData>
            </a:graphic>
          </wp:inline>
        </w:drawing>
      </w:r>
    </w:p>
    <w:p w:rsidR="00EB7DFA" w:rsidRDefault="00EB7DFA" w:rsidP="00EB7DFA">
      <w:pPr>
        <w:jc w:val="center"/>
      </w:pPr>
      <w:r w:rsidRPr="00EB7DFA">
        <w:rPr>
          <w:noProof/>
        </w:rPr>
        <w:lastRenderedPageBreak/>
        <w:drawing>
          <wp:inline distT="0" distB="0" distL="0" distR="0" wp14:anchorId="3AAE612F" wp14:editId="3E1A46DE">
            <wp:extent cx="5756910" cy="300164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56910" cy="3001645"/>
                    </a:xfrm>
                    <a:prstGeom prst="rect">
                      <a:avLst/>
                    </a:prstGeom>
                  </pic:spPr>
                </pic:pic>
              </a:graphicData>
            </a:graphic>
          </wp:inline>
        </w:drawing>
      </w:r>
    </w:p>
    <w:p w:rsidR="00EB7DFA" w:rsidRDefault="00EB7DFA" w:rsidP="00EB7DFA">
      <w:pPr>
        <w:jc w:val="center"/>
      </w:pPr>
      <w:r w:rsidRPr="00EB7DFA">
        <w:rPr>
          <w:noProof/>
        </w:rPr>
        <w:drawing>
          <wp:inline distT="0" distB="0" distL="0" distR="0" wp14:anchorId="4D7572D5" wp14:editId="7C9B5551">
            <wp:extent cx="5756910" cy="302831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56910" cy="3028315"/>
                    </a:xfrm>
                    <a:prstGeom prst="rect">
                      <a:avLst/>
                    </a:prstGeom>
                  </pic:spPr>
                </pic:pic>
              </a:graphicData>
            </a:graphic>
          </wp:inline>
        </w:drawing>
      </w:r>
    </w:p>
    <w:p w:rsidR="00EB7DFA" w:rsidRDefault="00EB7DFA" w:rsidP="00EB7DFA">
      <w:pPr>
        <w:jc w:val="center"/>
      </w:pPr>
      <w:r w:rsidRPr="00EB7DFA">
        <w:rPr>
          <w:noProof/>
        </w:rPr>
        <w:lastRenderedPageBreak/>
        <w:drawing>
          <wp:inline distT="0" distB="0" distL="0" distR="0" wp14:anchorId="2769D0ED" wp14:editId="1C3DD311">
            <wp:extent cx="5756910" cy="303657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6910" cy="3036570"/>
                    </a:xfrm>
                    <a:prstGeom prst="rect">
                      <a:avLst/>
                    </a:prstGeom>
                  </pic:spPr>
                </pic:pic>
              </a:graphicData>
            </a:graphic>
          </wp:inline>
        </w:drawing>
      </w:r>
    </w:p>
    <w:p w:rsidR="00EB7DFA" w:rsidRDefault="00EB7DFA" w:rsidP="00EB7DFA">
      <w:pPr>
        <w:jc w:val="center"/>
      </w:pPr>
      <w:r w:rsidRPr="00EB7DFA">
        <w:rPr>
          <w:noProof/>
        </w:rPr>
        <w:drawing>
          <wp:inline distT="0" distB="0" distL="0" distR="0" wp14:anchorId="76029EFF" wp14:editId="0DFD2056">
            <wp:extent cx="5756910" cy="298704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56910" cy="2987040"/>
                    </a:xfrm>
                    <a:prstGeom prst="rect">
                      <a:avLst/>
                    </a:prstGeom>
                  </pic:spPr>
                </pic:pic>
              </a:graphicData>
            </a:graphic>
          </wp:inline>
        </w:drawing>
      </w:r>
    </w:p>
    <w:p w:rsidR="00EB7DFA" w:rsidRDefault="00EB7DFA" w:rsidP="00EB7DFA">
      <w:pPr>
        <w:jc w:val="center"/>
      </w:pPr>
      <w:r w:rsidRPr="00EB7DFA">
        <w:rPr>
          <w:noProof/>
        </w:rPr>
        <w:lastRenderedPageBreak/>
        <w:drawing>
          <wp:inline distT="0" distB="0" distL="0" distR="0" wp14:anchorId="054DAF0E" wp14:editId="0243BD1B">
            <wp:extent cx="5756910" cy="3004820"/>
            <wp:effectExtent l="0" t="0" r="0" b="508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6910" cy="3004820"/>
                    </a:xfrm>
                    <a:prstGeom prst="rect">
                      <a:avLst/>
                    </a:prstGeom>
                  </pic:spPr>
                </pic:pic>
              </a:graphicData>
            </a:graphic>
          </wp:inline>
        </w:drawing>
      </w:r>
    </w:p>
    <w:p w:rsidR="00EB7DFA" w:rsidRDefault="00EB7DFA" w:rsidP="00EB7DFA">
      <w:pPr>
        <w:jc w:val="center"/>
      </w:pPr>
      <w:r w:rsidRPr="00EB7DFA">
        <w:rPr>
          <w:noProof/>
        </w:rPr>
        <w:drawing>
          <wp:inline distT="0" distB="0" distL="0" distR="0" wp14:anchorId="7F3615A9" wp14:editId="3C34B3EF">
            <wp:extent cx="5756910" cy="2980055"/>
            <wp:effectExtent l="0" t="0" r="0" b="444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6910" cy="2980055"/>
                    </a:xfrm>
                    <a:prstGeom prst="rect">
                      <a:avLst/>
                    </a:prstGeom>
                  </pic:spPr>
                </pic:pic>
              </a:graphicData>
            </a:graphic>
          </wp:inline>
        </w:drawing>
      </w:r>
    </w:p>
    <w:p w:rsidR="00EB7DFA" w:rsidRDefault="00EB7DFA" w:rsidP="00EB7DFA">
      <w:pPr>
        <w:jc w:val="center"/>
      </w:pPr>
      <w:r w:rsidRPr="00EB7DFA">
        <w:rPr>
          <w:noProof/>
        </w:rPr>
        <w:lastRenderedPageBreak/>
        <w:drawing>
          <wp:inline distT="0" distB="0" distL="0" distR="0" wp14:anchorId="6A0D2E23" wp14:editId="0A5ADB6C">
            <wp:extent cx="5756910" cy="3031490"/>
            <wp:effectExtent l="0" t="0" r="0" b="381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6910" cy="3031490"/>
                    </a:xfrm>
                    <a:prstGeom prst="rect">
                      <a:avLst/>
                    </a:prstGeom>
                  </pic:spPr>
                </pic:pic>
              </a:graphicData>
            </a:graphic>
          </wp:inline>
        </w:drawing>
      </w:r>
    </w:p>
    <w:p w:rsidR="00EB7DFA" w:rsidRDefault="00EB7DFA" w:rsidP="00EB7DFA">
      <w:pPr>
        <w:jc w:val="center"/>
      </w:pPr>
      <w:r w:rsidRPr="00EB7DFA">
        <w:rPr>
          <w:noProof/>
        </w:rPr>
        <w:drawing>
          <wp:inline distT="0" distB="0" distL="0" distR="0" wp14:anchorId="2963D042" wp14:editId="7A30961B">
            <wp:extent cx="5756910" cy="3010535"/>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6910" cy="3010535"/>
                    </a:xfrm>
                    <a:prstGeom prst="rect">
                      <a:avLst/>
                    </a:prstGeom>
                  </pic:spPr>
                </pic:pic>
              </a:graphicData>
            </a:graphic>
          </wp:inline>
        </w:drawing>
      </w:r>
    </w:p>
    <w:p w:rsidR="00EB7DFA" w:rsidRDefault="00EB7DFA" w:rsidP="00EB7DFA">
      <w:pPr>
        <w:jc w:val="center"/>
      </w:pPr>
      <w:r w:rsidRPr="00EB7DFA">
        <w:rPr>
          <w:noProof/>
        </w:rPr>
        <w:lastRenderedPageBreak/>
        <w:drawing>
          <wp:inline distT="0" distB="0" distL="0" distR="0" wp14:anchorId="3AE2F36B" wp14:editId="588A5263">
            <wp:extent cx="5756910" cy="3035935"/>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6910" cy="3035935"/>
                    </a:xfrm>
                    <a:prstGeom prst="rect">
                      <a:avLst/>
                    </a:prstGeom>
                  </pic:spPr>
                </pic:pic>
              </a:graphicData>
            </a:graphic>
          </wp:inline>
        </w:drawing>
      </w:r>
    </w:p>
    <w:p w:rsidR="00EB7DFA" w:rsidRDefault="00EB7DFA" w:rsidP="00EB7DFA">
      <w:pPr>
        <w:jc w:val="center"/>
      </w:pPr>
      <w:r w:rsidRPr="00EB7DFA">
        <w:rPr>
          <w:noProof/>
        </w:rPr>
        <w:drawing>
          <wp:inline distT="0" distB="0" distL="0" distR="0" wp14:anchorId="7A8AF0D5" wp14:editId="56CA75D2">
            <wp:extent cx="5756910" cy="300990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6910" cy="3009900"/>
                    </a:xfrm>
                    <a:prstGeom prst="rect">
                      <a:avLst/>
                    </a:prstGeom>
                  </pic:spPr>
                </pic:pic>
              </a:graphicData>
            </a:graphic>
          </wp:inline>
        </w:drawing>
      </w:r>
    </w:p>
    <w:p w:rsidR="00EB7DFA" w:rsidRDefault="00EB7DFA" w:rsidP="00EB7DFA">
      <w:pPr>
        <w:jc w:val="center"/>
      </w:pPr>
      <w:r w:rsidRPr="00EB7DFA">
        <w:rPr>
          <w:noProof/>
        </w:rPr>
        <w:lastRenderedPageBreak/>
        <w:drawing>
          <wp:inline distT="0" distB="0" distL="0" distR="0" wp14:anchorId="414EBEFF" wp14:editId="7C6C27AA">
            <wp:extent cx="5756910" cy="3006725"/>
            <wp:effectExtent l="0" t="0" r="0" b="317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6910" cy="3006725"/>
                    </a:xfrm>
                    <a:prstGeom prst="rect">
                      <a:avLst/>
                    </a:prstGeom>
                  </pic:spPr>
                </pic:pic>
              </a:graphicData>
            </a:graphic>
          </wp:inline>
        </w:drawing>
      </w:r>
    </w:p>
    <w:p w:rsidR="00EB7DFA" w:rsidRDefault="00EB7DFA" w:rsidP="00EB7DFA">
      <w:pPr>
        <w:jc w:val="center"/>
      </w:pPr>
    </w:p>
    <w:sectPr w:rsidR="00EB7DFA" w:rsidSect="006870B6">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FA"/>
    <w:rsid w:val="00021A64"/>
    <w:rsid w:val="000A586A"/>
    <w:rsid w:val="000F4921"/>
    <w:rsid w:val="00171C1D"/>
    <w:rsid w:val="00201246"/>
    <w:rsid w:val="0029475E"/>
    <w:rsid w:val="00315767"/>
    <w:rsid w:val="003D6BCD"/>
    <w:rsid w:val="004F5211"/>
    <w:rsid w:val="00685E66"/>
    <w:rsid w:val="006870B6"/>
    <w:rsid w:val="00763DF4"/>
    <w:rsid w:val="008D34C3"/>
    <w:rsid w:val="00AC4DA5"/>
    <w:rsid w:val="00AD230A"/>
    <w:rsid w:val="00D9544B"/>
    <w:rsid w:val="00EB7147"/>
    <w:rsid w:val="00EB7DFA"/>
    <w:rsid w:val="00F754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A1E967-BC37-0442-BB14-9053143DB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5211"/>
    <w:pPr>
      <w:spacing w:before="240" w:after="240" w:line="360" w:lineRule="auto"/>
      <w:jc w:val="both"/>
    </w:pPr>
    <w:rPr>
      <w:rFonts w:ascii="Times New Roman" w:hAnsi="Times New Roman"/>
      <w:sz w:val="28"/>
      <w:lang w:val="en-GB"/>
    </w:rPr>
  </w:style>
  <w:style w:type="paragraph" w:styleId="Titre3">
    <w:name w:val="heading 3"/>
    <w:basedOn w:val="Normal"/>
    <w:next w:val="Normal"/>
    <w:link w:val="Titre3Car"/>
    <w:uiPriority w:val="9"/>
    <w:unhideWhenUsed/>
    <w:qFormat/>
    <w:rsid w:val="004F5211"/>
    <w:pPr>
      <w:keepNext/>
      <w:keepLines/>
      <w:outlineLvl w:val="2"/>
    </w:pPr>
    <w:rPr>
      <w:rFonts w:eastAsiaTheme="majorEastAsia" w:cstheme="majorBidi"/>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4F5211"/>
    <w:rPr>
      <w:rFonts w:ascii="Times New Roman" w:eastAsiaTheme="majorEastAsia" w:hAnsi="Times New Roman" w:cstheme="majorBidi"/>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iff"/><Relationship Id="rId13" Type="http://schemas.openxmlformats.org/officeDocument/2006/relationships/image" Target="media/image10.tif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tiff"/><Relationship Id="rId12" Type="http://schemas.openxmlformats.org/officeDocument/2006/relationships/image" Target="media/image9.tif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tiff"/><Relationship Id="rId1" Type="http://schemas.openxmlformats.org/officeDocument/2006/relationships/styles" Target="styles.xml"/><Relationship Id="rId6" Type="http://schemas.openxmlformats.org/officeDocument/2006/relationships/image" Target="media/image3.tiff"/><Relationship Id="rId11" Type="http://schemas.openxmlformats.org/officeDocument/2006/relationships/image" Target="media/image8.tiff"/><Relationship Id="rId5" Type="http://schemas.openxmlformats.org/officeDocument/2006/relationships/image" Target="media/image2.tiff"/><Relationship Id="rId15" Type="http://schemas.openxmlformats.org/officeDocument/2006/relationships/image" Target="media/image12.tiff"/><Relationship Id="rId10" Type="http://schemas.openxmlformats.org/officeDocument/2006/relationships/image" Target="media/image7.tiff"/><Relationship Id="rId4" Type="http://schemas.openxmlformats.org/officeDocument/2006/relationships/image" Target="media/image1.tiff"/><Relationship Id="rId9" Type="http://schemas.openxmlformats.org/officeDocument/2006/relationships/image" Target="media/image6.tiff"/><Relationship Id="rId14" Type="http://schemas.openxmlformats.org/officeDocument/2006/relationships/image" Target="media/image11.tif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826</Words>
  <Characters>4547</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2023-06-18T08:19:00Z</dcterms:created>
  <dcterms:modified xsi:type="dcterms:W3CDTF">2023-06-18T08:19:00Z</dcterms:modified>
</cp:coreProperties>
</file>