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EEA82" w14:textId="77777777" w:rsidR="0084580A" w:rsidRPr="0084580A" w:rsidRDefault="0084580A" w:rsidP="0084580A">
      <w:pPr>
        <w:rPr>
          <w:b/>
          <w:sz w:val="24"/>
          <w:szCs w:val="24"/>
          <w:u w:val="single"/>
        </w:rPr>
      </w:pPr>
      <w:r w:rsidRPr="0084580A">
        <w:rPr>
          <w:b/>
          <w:sz w:val="24"/>
          <w:szCs w:val="24"/>
          <w:u w:val="single"/>
        </w:rPr>
        <w:t>Supplementary Information</w:t>
      </w:r>
    </w:p>
    <w:p w14:paraId="00000001" w14:textId="38EF80DA" w:rsidR="0060225D" w:rsidRPr="004C3AAA" w:rsidRDefault="008E009E" w:rsidP="0084580A">
      <w:pPr>
        <w:rPr>
          <w:sz w:val="24"/>
          <w:szCs w:val="24"/>
        </w:rPr>
      </w:pPr>
      <w:r>
        <w:rPr>
          <w:b/>
          <w:sz w:val="24"/>
          <w:szCs w:val="24"/>
        </w:rPr>
        <w:t>A</w:t>
      </w:r>
      <w:r w:rsidR="006B3800" w:rsidRPr="004C3AAA">
        <w:rPr>
          <w:b/>
          <w:sz w:val="24"/>
          <w:szCs w:val="24"/>
        </w:rPr>
        <w:t>ntimalarial</w:t>
      </w:r>
      <w:r>
        <w:rPr>
          <w:b/>
          <w:sz w:val="24"/>
          <w:szCs w:val="24"/>
        </w:rPr>
        <w:t xml:space="preserve">, </w:t>
      </w:r>
      <w:r w:rsidR="006B3800" w:rsidRPr="004C3AAA">
        <w:rPr>
          <w:b/>
          <w:sz w:val="24"/>
          <w:szCs w:val="24"/>
        </w:rPr>
        <w:t>cytotoxic</w:t>
      </w:r>
      <w:r>
        <w:rPr>
          <w:b/>
          <w:sz w:val="24"/>
          <w:szCs w:val="24"/>
        </w:rPr>
        <w:t xml:space="preserve"> and antioxidant</w:t>
      </w:r>
      <w:r w:rsidR="006B3800" w:rsidRPr="004C3AAA">
        <w:rPr>
          <w:b/>
          <w:sz w:val="24"/>
          <w:szCs w:val="24"/>
        </w:rPr>
        <w:t xml:space="preserve"> activities of 14 medicinal plants</w:t>
      </w:r>
      <w:r>
        <w:rPr>
          <w:b/>
          <w:sz w:val="24"/>
          <w:szCs w:val="24"/>
        </w:rPr>
        <w:t xml:space="preserve"> from Sudan</w:t>
      </w:r>
    </w:p>
    <w:p w14:paraId="00000002" w14:textId="3572528A" w:rsidR="0060225D" w:rsidRPr="00884E4F" w:rsidRDefault="006B3800" w:rsidP="0084580A">
      <w:pPr>
        <w:rPr>
          <w:bCs/>
          <w:sz w:val="24"/>
          <w:szCs w:val="24"/>
        </w:rPr>
      </w:pPr>
      <w:r w:rsidRPr="00884E4F">
        <w:rPr>
          <w:bCs/>
          <w:sz w:val="24"/>
          <w:szCs w:val="24"/>
        </w:rPr>
        <w:t>Ibrahim B. E. El Bashir</w:t>
      </w:r>
      <w:r w:rsidRPr="00884E4F">
        <w:rPr>
          <w:bCs/>
          <w:sz w:val="24"/>
          <w:szCs w:val="24"/>
          <w:vertAlign w:val="superscript"/>
        </w:rPr>
        <w:t>1</w:t>
      </w:r>
      <w:r w:rsidRPr="00884E4F">
        <w:rPr>
          <w:bCs/>
          <w:sz w:val="24"/>
          <w:szCs w:val="24"/>
        </w:rPr>
        <w:t>, Maha Y. Kordofani</w:t>
      </w:r>
      <w:r w:rsidRPr="00884E4F">
        <w:rPr>
          <w:bCs/>
          <w:sz w:val="24"/>
          <w:szCs w:val="24"/>
          <w:vertAlign w:val="superscript"/>
        </w:rPr>
        <w:t>1</w:t>
      </w:r>
      <w:r w:rsidRPr="00884E4F">
        <w:rPr>
          <w:bCs/>
          <w:sz w:val="24"/>
          <w:szCs w:val="24"/>
        </w:rPr>
        <w:t>,</w:t>
      </w:r>
      <w:r w:rsidR="00570417" w:rsidRPr="00884E4F">
        <w:rPr>
          <w:bCs/>
          <w:sz w:val="24"/>
          <w:szCs w:val="24"/>
        </w:rPr>
        <w:t xml:space="preserve"> Sakina Yagi</w:t>
      </w:r>
      <w:r w:rsidR="00570417" w:rsidRPr="00884E4F">
        <w:rPr>
          <w:bCs/>
          <w:sz w:val="24"/>
          <w:szCs w:val="24"/>
          <w:vertAlign w:val="superscript"/>
        </w:rPr>
        <w:t>1</w:t>
      </w:r>
      <w:r w:rsidR="00570417" w:rsidRPr="00884E4F">
        <w:rPr>
          <w:bCs/>
          <w:sz w:val="24"/>
          <w:szCs w:val="24"/>
        </w:rPr>
        <w:t xml:space="preserve">, </w:t>
      </w:r>
      <w:r w:rsidR="00D24CC0" w:rsidRPr="00884E4F">
        <w:rPr>
          <w:bCs/>
          <w:sz w:val="24"/>
          <w:szCs w:val="24"/>
        </w:rPr>
        <w:t>Abdulrahman A. Al-Atar</w:t>
      </w:r>
      <w:r w:rsidR="00D24CC0" w:rsidRPr="00884E4F">
        <w:rPr>
          <w:bCs/>
          <w:sz w:val="24"/>
          <w:szCs w:val="24"/>
          <w:vertAlign w:val="superscript"/>
        </w:rPr>
        <w:t>2</w:t>
      </w:r>
      <w:r w:rsidR="00D24CC0" w:rsidRPr="00884E4F">
        <w:rPr>
          <w:bCs/>
          <w:sz w:val="24"/>
          <w:szCs w:val="24"/>
        </w:rPr>
        <w:t>, Ahmed A. Qahtan</w:t>
      </w:r>
      <w:r w:rsidR="00D24CC0" w:rsidRPr="00884E4F">
        <w:rPr>
          <w:bCs/>
          <w:sz w:val="24"/>
          <w:szCs w:val="24"/>
          <w:vertAlign w:val="superscript"/>
        </w:rPr>
        <w:t>2</w:t>
      </w:r>
      <w:r w:rsidR="00D24CC0" w:rsidRPr="00884E4F">
        <w:rPr>
          <w:bCs/>
          <w:sz w:val="24"/>
          <w:szCs w:val="24"/>
        </w:rPr>
        <w:t>, Eslam M. Abdel-Salam</w:t>
      </w:r>
      <w:r w:rsidR="00D24CC0" w:rsidRPr="00884E4F">
        <w:rPr>
          <w:bCs/>
          <w:sz w:val="24"/>
          <w:szCs w:val="24"/>
          <w:vertAlign w:val="superscript"/>
        </w:rPr>
        <w:t>2</w:t>
      </w:r>
      <w:r w:rsidR="00D24CC0" w:rsidRPr="00884E4F">
        <w:rPr>
          <w:bCs/>
          <w:sz w:val="24"/>
          <w:szCs w:val="24"/>
        </w:rPr>
        <w:t>,</w:t>
      </w:r>
      <w:r w:rsidRPr="00884E4F">
        <w:rPr>
          <w:bCs/>
          <w:sz w:val="24"/>
          <w:szCs w:val="24"/>
        </w:rPr>
        <w:t xml:space="preserve"> </w:t>
      </w:r>
      <w:r w:rsidR="00EE6066" w:rsidRPr="00884E4F">
        <w:rPr>
          <w:bCs/>
          <w:sz w:val="24"/>
          <w:szCs w:val="24"/>
        </w:rPr>
        <w:t>Abdullah M. Alkahtani</w:t>
      </w:r>
      <w:r w:rsidR="00EE6066" w:rsidRPr="00884E4F">
        <w:rPr>
          <w:bCs/>
          <w:sz w:val="24"/>
          <w:szCs w:val="24"/>
          <w:vertAlign w:val="superscript"/>
        </w:rPr>
        <w:t>2</w:t>
      </w:r>
      <w:bookmarkStart w:id="0" w:name="_Hlk92698316"/>
      <w:r w:rsidR="00EE6066" w:rsidRPr="00884E4F">
        <w:rPr>
          <w:bCs/>
          <w:sz w:val="24"/>
          <w:szCs w:val="24"/>
        </w:rPr>
        <w:t xml:space="preserve">, </w:t>
      </w:r>
      <w:r w:rsidRPr="00884E4F">
        <w:rPr>
          <w:bCs/>
          <w:sz w:val="24"/>
          <w:szCs w:val="24"/>
        </w:rPr>
        <w:t>Majed A.  Al-Mansoub</w:t>
      </w:r>
      <w:bookmarkEnd w:id="0"/>
      <w:r w:rsidRPr="00884E4F">
        <w:rPr>
          <w:bCs/>
          <w:sz w:val="24"/>
          <w:szCs w:val="24"/>
          <w:vertAlign w:val="superscript"/>
        </w:rPr>
        <w:t>3</w:t>
      </w:r>
      <w:r w:rsidRPr="00884E4F">
        <w:rPr>
          <w:bCs/>
          <w:sz w:val="24"/>
          <w:szCs w:val="24"/>
        </w:rPr>
        <w:t>, Ammar Mohammed Ahmed Ali</w:t>
      </w:r>
      <w:r w:rsidRPr="00884E4F">
        <w:rPr>
          <w:bCs/>
          <w:sz w:val="24"/>
          <w:szCs w:val="24"/>
          <w:vertAlign w:val="superscript"/>
        </w:rPr>
        <w:t>4</w:t>
      </w:r>
      <w:r w:rsidR="00C81207" w:rsidRPr="00884E4F">
        <w:rPr>
          <w:bCs/>
          <w:sz w:val="24"/>
          <w:szCs w:val="24"/>
          <w:lang w:bidi="ar-YE"/>
        </w:rPr>
        <w:t>,</w:t>
      </w:r>
      <w:r w:rsidR="00C81207" w:rsidRPr="00884E4F">
        <w:rPr>
          <w:bCs/>
          <w:sz w:val="24"/>
          <w:szCs w:val="24"/>
        </w:rPr>
        <w:t xml:space="preserve"> </w:t>
      </w:r>
      <w:bookmarkStart w:id="1" w:name="_Hlk92698794"/>
      <w:r w:rsidR="009164F0" w:rsidRPr="00884E4F">
        <w:rPr>
          <w:bCs/>
          <w:sz w:val="24"/>
          <w:szCs w:val="24"/>
        </w:rPr>
        <w:t xml:space="preserve">Ali M. </w:t>
      </w:r>
      <w:proofErr w:type="spellStart"/>
      <w:r w:rsidR="009164F0" w:rsidRPr="00884E4F">
        <w:rPr>
          <w:bCs/>
          <w:sz w:val="24"/>
          <w:szCs w:val="24"/>
        </w:rPr>
        <w:t>Batah</w:t>
      </w:r>
      <w:proofErr w:type="spellEnd"/>
      <w:r w:rsidR="009164F0" w:rsidRPr="00884E4F">
        <w:rPr>
          <w:bCs/>
          <w:sz w:val="24"/>
          <w:szCs w:val="24"/>
        </w:rPr>
        <w:t xml:space="preserve"> </w:t>
      </w:r>
      <w:bookmarkEnd w:id="1"/>
      <w:r w:rsidR="009164F0" w:rsidRPr="00884E4F">
        <w:rPr>
          <w:bCs/>
          <w:sz w:val="24"/>
          <w:szCs w:val="24"/>
          <w:vertAlign w:val="superscript"/>
        </w:rPr>
        <w:t>5</w:t>
      </w:r>
      <w:r w:rsidR="00533261" w:rsidRPr="00884E4F">
        <w:rPr>
          <w:bCs/>
          <w:sz w:val="24"/>
          <w:szCs w:val="24"/>
        </w:rPr>
        <w:t xml:space="preserve">, </w:t>
      </w:r>
      <w:r w:rsidR="00533261" w:rsidRPr="00884E4F">
        <w:rPr>
          <w:rFonts w:asciiTheme="majorBidi" w:eastAsia="Calibri" w:hAnsiTheme="majorBidi" w:cstheme="majorBidi"/>
          <w:bCs/>
          <w:sz w:val="24"/>
          <w:szCs w:val="24"/>
        </w:rPr>
        <w:t>Gokhan Zengin*</w:t>
      </w:r>
      <w:r w:rsidR="00533261" w:rsidRPr="00884E4F">
        <w:rPr>
          <w:rFonts w:asciiTheme="majorBidi" w:eastAsia="Calibri" w:hAnsiTheme="majorBidi" w:cstheme="majorBidi"/>
          <w:bCs/>
          <w:sz w:val="24"/>
          <w:szCs w:val="24"/>
          <w:vertAlign w:val="superscript"/>
        </w:rPr>
        <w:t>6</w:t>
      </w:r>
    </w:p>
    <w:p w14:paraId="00000003" w14:textId="5BD67435" w:rsidR="0060225D" w:rsidRPr="004C3AAA" w:rsidRDefault="006B3800" w:rsidP="0084580A">
      <w:pPr>
        <w:spacing w:line="276" w:lineRule="auto"/>
        <w:rPr>
          <w:sz w:val="24"/>
          <w:szCs w:val="24"/>
        </w:rPr>
      </w:pPr>
      <w:r w:rsidRPr="004C3AAA">
        <w:rPr>
          <w:sz w:val="24"/>
          <w:szCs w:val="24"/>
          <w:vertAlign w:val="superscript"/>
        </w:rPr>
        <w:t>1</w:t>
      </w:r>
      <w:r w:rsidRPr="004C3AAA">
        <w:rPr>
          <w:sz w:val="24"/>
          <w:szCs w:val="24"/>
        </w:rPr>
        <w:t>Department of Botany, Faculty of Science, University of Khartoum P.O. Box 321, Khartoum, Sudan.</w:t>
      </w:r>
    </w:p>
    <w:p w14:paraId="7ABCDD7D" w14:textId="7124BD3A" w:rsidR="00D24CC0" w:rsidRPr="004C3AAA" w:rsidRDefault="00D24CC0" w:rsidP="0084580A">
      <w:pPr>
        <w:spacing w:line="276" w:lineRule="auto"/>
        <w:rPr>
          <w:sz w:val="24"/>
          <w:szCs w:val="24"/>
        </w:rPr>
      </w:pPr>
      <w:r w:rsidRPr="004C3AAA">
        <w:rPr>
          <w:rFonts w:asciiTheme="majorBidi" w:hAnsiTheme="majorBidi" w:cstheme="majorBidi"/>
          <w:sz w:val="24"/>
          <w:szCs w:val="24"/>
          <w:vertAlign w:val="superscript"/>
        </w:rPr>
        <w:t>2</w:t>
      </w:r>
      <w:r w:rsidRPr="004C3AAA">
        <w:rPr>
          <w:rFonts w:asciiTheme="majorBidi" w:hAnsiTheme="majorBidi" w:cstheme="majorBidi"/>
          <w:sz w:val="24"/>
          <w:szCs w:val="24"/>
        </w:rPr>
        <w:t>Department of Botany and Microbiology, College of Science, King Saud University, P.O. Box 2455, Riyadh 11451, Saudi Arabia.</w:t>
      </w:r>
    </w:p>
    <w:p w14:paraId="0CD3E819" w14:textId="5A04A317" w:rsidR="00D24CC0" w:rsidRPr="004C3AAA" w:rsidRDefault="006B3800" w:rsidP="0084580A">
      <w:pPr>
        <w:spacing w:line="240" w:lineRule="auto"/>
        <w:rPr>
          <w:sz w:val="24"/>
          <w:szCs w:val="24"/>
        </w:rPr>
      </w:pPr>
      <w:r w:rsidRPr="004C3AAA">
        <w:rPr>
          <w:b/>
          <w:sz w:val="24"/>
          <w:szCs w:val="24"/>
          <w:vertAlign w:val="superscript"/>
        </w:rPr>
        <w:t>3</w:t>
      </w:r>
      <w:r w:rsidRPr="004C3AAA">
        <w:rPr>
          <w:sz w:val="24"/>
          <w:szCs w:val="24"/>
        </w:rPr>
        <w:t xml:space="preserve">Department of Chemistry, College of Science, </w:t>
      </w:r>
      <w:proofErr w:type="spellStart"/>
      <w:r w:rsidRPr="004C3AAA">
        <w:rPr>
          <w:sz w:val="24"/>
          <w:szCs w:val="24"/>
        </w:rPr>
        <w:t>Ibb</w:t>
      </w:r>
      <w:proofErr w:type="spellEnd"/>
      <w:r w:rsidRPr="004C3AAA">
        <w:rPr>
          <w:sz w:val="24"/>
          <w:szCs w:val="24"/>
        </w:rPr>
        <w:t xml:space="preserve"> University, P.O.70270, </w:t>
      </w:r>
      <w:proofErr w:type="spellStart"/>
      <w:r w:rsidRPr="004C3AAA">
        <w:rPr>
          <w:sz w:val="24"/>
          <w:szCs w:val="24"/>
        </w:rPr>
        <w:t>Ibb</w:t>
      </w:r>
      <w:proofErr w:type="spellEnd"/>
      <w:r w:rsidRPr="004C3AAA">
        <w:rPr>
          <w:sz w:val="24"/>
          <w:szCs w:val="24"/>
        </w:rPr>
        <w:t>, Yemen</w:t>
      </w:r>
    </w:p>
    <w:p w14:paraId="65CB3987" w14:textId="1A9B417C" w:rsidR="00D24CC0" w:rsidRPr="004C3AAA" w:rsidRDefault="006B3800" w:rsidP="0084580A">
      <w:pPr>
        <w:spacing w:line="240" w:lineRule="auto"/>
        <w:rPr>
          <w:sz w:val="24"/>
          <w:szCs w:val="24"/>
        </w:rPr>
      </w:pPr>
      <w:r w:rsidRPr="004C3AAA">
        <w:rPr>
          <w:b/>
          <w:sz w:val="24"/>
          <w:szCs w:val="24"/>
          <w:vertAlign w:val="superscript"/>
        </w:rPr>
        <w:t>4</w:t>
      </w:r>
      <w:r w:rsidRPr="004C3AAA">
        <w:rPr>
          <w:sz w:val="24"/>
          <w:szCs w:val="24"/>
        </w:rPr>
        <w:t>Department of Biology, Faculty of Education, Hajjah University,</w:t>
      </w:r>
      <w:r w:rsidR="00146F8C" w:rsidRPr="004C3AAA">
        <w:rPr>
          <w:sz w:val="24"/>
          <w:szCs w:val="24"/>
        </w:rPr>
        <w:t xml:space="preserve"> Hajjah,</w:t>
      </w:r>
      <w:r w:rsidRPr="004C3AAA">
        <w:rPr>
          <w:sz w:val="24"/>
          <w:szCs w:val="24"/>
        </w:rPr>
        <w:t xml:space="preserve"> Yemen.</w:t>
      </w:r>
    </w:p>
    <w:p w14:paraId="00000011" w14:textId="015B3001" w:rsidR="0060225D" w:rsidRPr="004C3AAA" w:rsidRDefault="00876665" w:rsidP="0084580A">
      <w:pPr>
        <w:spacing w:after="0" w:line="240" w:lineRule="auto"/>
        <w:ind w:right="-1"/>
        <w:rPr>
          <w:sz w:val="24"/>
          <w:szCs w:val="24"/>
        </w:rPr>
      </w:pPr>
      <w:r w:rsidRPr="004C3AAA">
        <w:rPr>
          <w:rFonts w:asciiTheme="majorBidi" w:hAnsiTheme="majorBidi" w:cstheme="majorBidi"/>
          <w:sz w:val="24"/>
          <w:szCs w:val="24"/>
          <w:shd w:val="clear" w:color="auto" w:fill="FFFFFF"/>
          <w:vertAlign w:val="superscript"/>
        </w:rPr>
        <w:t xml:space="preserve">5 </w:t>
      </w:r>
      <w:r w:rsidRPr="004C3AAA">
        <w:rPr>
          <w:rFonts w:asciiTheme="majorBidi" w:hAnsiTheme="majorBidi" w:cstheme="majorBidi"/>
          <w:sz w:val="24"/>
          <w:szCs w:val="24"/>
          <w:shd w:val="clear" w:color="auto" w:fill="FFFFFF"/>
        </w:rPr>
        <w:t>A</w:t>
      </w:r>
      <w:r w:rsidR="009164F0" w:rsidRPr="004C3AAA">
        <w:rPr>
          <w:rFonts w:asciiTheme="majorBidi" w:hAnsiTheme="majorBidi" w:cstheme="majorBidi"/>
          <w:sz w:val="24"/>
          <w:szCs w:val="24"/>
          <w:shd w:val="clear" w:color="auto" w:fill="FFFFFF"/>
        </w:rPr>
        <w:t xml:space="preserve"> Tropical Disease Research Center, University of Science and Technology, Sana’a, Yemen</w:t>
      </w:r>
      <w:r w:rsidR="00533261" w:rsidRPr="004C3AAA">
        <w:rPr>
          <w:sz w:val="24"/>
          <w:szCs w:val="24"/>
        </w:rPr>
        <w:t>.</w:t>
      </w:r>
    </w:p>
    <w:p w14:paraId="5FD42AA6" w14:textId="72A7C3E1" w:rsidR="00533261" w:rsidRPr="004C3AAA" w:rsidRDefault="00533261" w:rsidP="0084580A">
      <w:pPr>
        <w:autoSpaceDE w:val="0"/>
        <w:autoSpaceDN w:val="0"/>
        <w:adjustRightInd w:val="0"/>
        <w:spacing w:after="0" w:line="240" w:lineRule="auto"/>
        <w:rPr>
          <w:rFonts w:asciiTheme="majorBidi" w:eastAsiaTheme="minorHAnsi" w:hAnsiTheme="majorBidi" w:cstheme="majorBidi"/>
          <w:sz w:val="24"/>
          <w:szCs w:val="24"/>
        </w:rPr>
      </w:pPr>
      <w:r w:rsidRPr="004C3AAA">
        <w:rPr>
          <w:rFonts w:asciiTheme="majorBidi" w:eastAsiaTheme="minorHAnsi" w:hAnsiTheme="majorBidi" w:cstheme="majorBidi"/>
          <w:sz w:val="24"/>
          <w:szCs w:val="24"/>
          <w:vertAlign w:val="superscript"/>
        </w:rPr>
        <w:t xml:space="preserve">6 </w:t>
      </w:r>
      <w:r w:rsidRPr="004C3AAA">
        <w:rPr>
          <w:rFonts w:asciiTheme="majorBidi" w:eastAsiaTheme="minorHAnsi" w:hAnsiTheme="majorBidi" w:cstheme="majorBidi"/>
          <w:sz w:val="24"/>
          <w:szCs w:val="24"/>
        </w:rPr>
        <w:t>Physiology and Biochemistry Laboratory, Department of Biology, Science Faculty, Selcuk University, Campus, 42103 Konya, Turkey.</w:t>
      </w:r>
    </w:p>
    <w:p w14:paraId="3165175F" w14:textId="3BEB9CD8" w:rsidR="00332022" w:rsidRPr="00332022" w:rsidRDefault="00332022" w:rsidP="0084580A">
      <w:pPr>
        <w:autoSpaceDE w:val="0"/>
        <w:autoSpaceDN w:val="0"/>
        <w:adjustRightInd w:val="0"/>
        <w:spacing w:after="0" w:line="240" w:lineRule="auto"/>
        <w:ind w:right="-1"/>
        <w:rPr>
          <w:rFonts w:asciiTheme="majorBidi" w:hAnsiTheme="majorBidi" w:cstheme="majorBidi"/>
          <w:b/>
          <w:sz w:val="24"/>
          <w:szCs w:val="24"/>
        </w:rPr>
      </w:pPr>
      <w:r w:rsidRPr="00332022">
        <w:rPr>
          <w:sz w:val="24"/>
          <w:szCs w:val="24"/>
          <w:vertAlign w:val="superscript"/>
        </w:rPr>
        <w:t>*</w:t>
      </w:r>
      <w:r w:rsidRPr="00332022">
        <w:rPr>
          <w:sz w:val="24"/>
          <w:szCs w:val="24"/>
        </w:rPr>
        <w:t xml:space="preserve">Corresponding author: </w:t>
      </w:r>
      <w:hyperlink r:id="rId8" w:history="1">
        <w:r w:rsidRPr="00332022">
          <w:rPr>
            <w:rStyle w:val="Hyperlink"/>
            <w:rFonts w:ascii="PalatinoLinotype" w:eastAsiaTheme="minorHAnsi" w:hAnsi="PalatinoLinotype" w:cs="PalatinoLinotype"/>
            <w:sz w:val="24"/>
            <w:szCs w:val="24"/>
          </w:rPr>
          <w:t>gokhanzengin@selcuk.edu.tr</w:t>
        </w:r>
      </w:hyperlink>
    </w:p>
    <w:p w14:paraId="395E283C" w14:textId="77777777" w:rsidR="00332022" w:rsidRDefault="00332022" w:rsidP="0084580A">
      <w:pPr>
        <w:spacing w:line="240" w:lineRule="auto"/>
        <w:rPr>
          <w:sz w:val="24"/>
          <w:szCs w:val="24"/>
        </w:rPr>
      </w:pPr>
    </w:p>
    <w:p w14:paraId="50C80EFC" w14:textId="77777777" w:rsidR="00332022" w:rsidRDefault="00332022" w:rsidP="002129A3">
      <w:pPr>
        <w:spacing w:line="240" w:lineRule="auto"/>
        <w:rPr>
          <w:sz w:val="24"/>
          <w:szCs w:val="24"/>
        </w:rPr>
      </w:pPr>
    </w:p>
    <w:p w14:paraId="01AE0C8F" w14:textId="395D2926" w:rsidR="002129A3" w:rsidRDefault="002129A3" w:rsidP="002129A3">
      <w:pPr>
        <w:spacing w:line="240" w:lineRule="auto"/>
        <w:rPr>
          <w:sz w:val="24"/>
          <w:szCs w:val="24"/>
        </w:rPr>
      </w:pPr>
    </w:p>
    <w:p w14:paraId="46006AF3" w14:textId="2A39C3E3" w:rsidR="008E009E" w:rsidRDefault="008E009E" w:rsidP="002129A3">
      <w:pPr>
        <w:spacing w:line="240" w:lineRule="auto"/>
        <w:rPr>
          <w:sz w:val="24"/>
          <w:szCs w:val="24"/>
        </w:rPr>
      </w:pPr>
    </w:p>
    <w:p w14:paraId="051C9D2E" w14:textId="29A7DED1" w:rsidR="00332022" w:rsidRDefault="00332022" w:rsidP="002129A3">
      <w:pPr>
        <w:spacing w:line="240" w:lineRule="auto"/>
        <w:rPr>
          <w:sz w:val="24"/>
          <w:szCs w:val="24"/>
        </w:rPr>
      </w:pPr>
    </w:p>
    <w:p w14:paraId="281BCF25" w14:textId="238F5BCA" w:rsidR="00332022" w:rsidRDefault="00332022" w:rsidP="002129A3">
      <w:pPr>
        <w:spacing w:line="240" w:lineRule="auto"/>
        <w:rPr>
          <w:sz w:val="24"/>
          <w:szCs w:val="24"/>
        </w:rPr>
      </w:pPr>
    </w:p>
    <w:p w14:paraId="4DC116B2" w14:textId="1DEE2AC9" w:rsidR="00332022" w:rsidRDefault="00332022" w:rsidP="002129A3">
      <w:pPr>
        <w:spacing w:line="240" w:lineRule="auto"/>
        <w:rPr>
          <w:sz w:val="24"/>
          <w:szCs w:val="24"/>
        </w:rPr>
      </w:pPr>
    </w:p>
    <w:p w14:paraId="54EC29A0" w14:textId="16494D77" w:rsidR="00332022" w:rsidRDefault="00332022" w:rsidP="002129A3">
      <w:pPr>
        <w:spacing w:line="240" w:lineRule="auto"/>
        <w:rPr>
          <w:sz w:val="24"/>
          <w:szCs w:val="24"/>
        </w:rPr>
      </w:pPr>
    </w:p>
    <w:p w14:paraId="152D8D07" w14:textId="44D17F26" w:rsidR="00332022" w:rsidRDefault="00332022" w:rsidP="002129A3">
      <w:pPr>
        <w:spacing w:line="240" w:lineRule="auto"/>
        <w:rPr>
          <w:sz w:val="24"/>
          <w:szCs w:val="24"/>
        </w:rPr>
      </w:pPr>
    </w:p>
    <w:p w14:paraId="3407BE88" w14:textId="1A0E40D1" w:rsidR="00332022" w:rsidRDefault="00332022" w:rsidP="002129A3">
      <w:pPr>
        <w:spacing w:line="240" w:lineRule="auto"/>
        <w:rPr>
          <w:sz w:val="24"/>
          <w:szCs w:val="24"/>
        </w:rPr>
      </w:pPr>
    </w:p>
    <w:p w14:paraId="2FD962F6" w14:textId="5007978D" w:rsidR="00332022" w:rsidRDefault="00332022" w:rsidP="002129A3">
      <w:pPr>
        <w:spacing w:line="240" w:lineRule="auto"/>
        <w:rPr>
          <w:sz w:val="24"/>
          <w:szCs w:val="24"/>
        </w:rPr>
      </w:pPr>
    </w:p>
    <w:p w14:paraId="4E4DD53D" w14:textId="011963EA" w:rsidR="00332022" w:rsidRDefault="00332022" w:rsidP="002129A3">
      <w:pPr>
        <w:spacing w:line="240" w:lineRule="auto"/>
        <w:rPr>
          <w:sz w:val="24"/>
          <w:szCs w:val="24"/>
        </w:rPr>
      </w:pPr>
    </w:p>
    <w:p w14:paraId="3AFE3EDF" w14:textId="77777777" w:rsidR="00332022" w:rsidRPr="004C3AAA" w:rsidRDefault="00332022" w:rsidP="002129A3">
      <w:pPr>
        <w:spacing w:line="240" w:lineRule="auto"/>
        <w:rPr>
          <w:sz w:val="24"/>
          <w:szCs w:val="24"/>
        </w:rPr>
      </w:pPr>
    </w:p>
    <w:p w14:paraId="00000027" w14:textId="7D930776" w:rsidR="0060225D" w:rsidRPr="004C3AAA" w:rsidRDefault="006B3800">
      <w:pPr>
        <w:rPr>
          <w:sz w:val="24"/>
          <w:szCs w:val="24"/>
        </w:rPr>
      </w:pPr>
      <w:r w:rsidRPr="004C3AAA">
        <w:rPr>
          <w:sz w:val="24"/>
          <w:szCs w:val="24"/>
        </w:rPr>
        <w:t>Determination of total phenolic content (TPC)</w:t>
      </w:r>
    </w:p>
    <w:p w14:paraId="00000028" w14:textId="3F3FDF42" w:rsidR="0060225D" w:rsidRPr="004C3AAA" w:rsidRDefault="006B3800">
      <w:pPr>
        <w:rPr>
          <w:sz w:val="24"/>
          <w:szCs w:val="24"/>
        </w:rPr>
      </w:pPr>
      <w:r w:rsidRPr="004C3AAA">
        <w:rPr>
          <w:sz w:val="24"/>
          <w:szCs w:val="24"/>
        </w:rPr>
        <w:t>The TPC was determined by adopting the method described by</w:t>
      </w:r>
      <w:r w:rsidR="007F1B7F" w:rsidRPr="004C3AAA">
        <w:rPr>
          <w:sz w:val="24"/>
          <w:szCs w:val="24"/>
        </w:rPr>
        <w:t xml:space="preserve"> </w:t>
      </w:r>
      <w:r w:rsidR="007F1B7F" w:rsidRPr="004C3AAA">
        <w:rPr>
          <w:sz w:val="24"/>
          <w:szCs w:val="24"/>
        </w:rPr>
        <w:fldChar w:fldCharType="begin"/>
      </w:r>
      <w:r w:rsidR="00EA6C4C">
        <w:rPr>
          <w:sz w:val="24"/>
          <w:szCs w:val="24"/>
        </w:rPr>
        <w:instrText xml:space="preserve"> ADDIN EN.CITE &lt;EndNote&gt;&lt;Cite AuthorYear="1"&gt;&lt;Author&gt;Wolfe&lt;/Author&gt;&lt;Year&gt;2003&lt;/Year&gt;&lt;RecNum&gt;48&lt;/RecNum&gt;&lt;DisplayText&gt;Wolfe et al. (2003)&lt;/DisplayText&gt;&lt;record&gt;&lt;rec-number&gt;48&lt;/rec-number&gt;&lt;foreign-keys&gt;&lt;key app="EN" db-id="920pt0sf3azpdde9dr7vwe2nr9swwrf9wzzv" timestamp="1640459970"&gt;48&lt;/key&gt;&lt;/foreign-keys&gt;&lt;ref-type name="Journal Article"&gt;17&lt;/ref-type&gt;&lt;contributors&gt;&lt;authors&gt;&lt;author&gt;Wolfe, Kelly&lt;/author&gt;&lt;author&gt;Wu, Xianzhong&lt;/author&gt;&lt;author&gt;Liu, Rui Hai&lt;/author&gt;&lt;/authors&gt;&lt;/contributors&gt;&lt;titles&gt;&lt;title&gt;Antioxidant activity of apple peels&lt;/title&gt;&lt;secondary-title&gt;Journal of agricultural and food chemistry&lt;/secondary-title&gt;&lt;/titles&gt;&lt;periodical&gt;&lt;full-title&gt;Journal of agricultural and food chemistry&lt;/full-title&gt;&lt;/periodical&gt;&lt;pages&gt;609-614&lt;/pages&gt;&lt;volume&gt;51&lt;/volume&gt;&lt;number&gt;3&lt;/number&gt;&lt;dates&gt;&lt;year&gt;2003&lt;/year&gt;&lt;/dates&gt;&lt;isbn&gt;0021-8561&lt;/isbn&gt;&lt;urls&gt;&lt;/urls&gt;&lt;/record&gt;&lt;/Cite&gt;&lt;/EndNote&gt;</w:instrText>
      </w:r>
      <w:r w:rsidR="007F1B7F" w:rsidRPr="004C3AAA">
        <w:rPr>
          <w:sz w:val="24"/>
          <w:szCs w:val="24"/>
        </w:rPr>
        <w:fldChar w:fldCharType="separate"/>
      </w:r>
      <w:r w:rsidR="007F1B7F" w:rsidRPr="004C3AAA">
        <w:rPr>
          <w:noProof/>
          <w:sz w:val="24"/>
          <w:szCs w:val="24"/>
        </w:rPr>
        <w:t>Wolfe et al. (2003)</w:t>
      </w:r>
      <w:r w:rsidR="007F1B7F" w:rsidRPr="004C3AAA">
        <w:rPr>
          <w:sz w:val="24"/>
          <w:szCs w:val="24"/>
        </w:rPr>
        <w:fldChar w:fldCharType="end"/>
      </w:r>
      <w:r w:rsidRPr="004C3AAA">
        <w:rPr>
          <w:sz w:val="24"/>
          <w:szCs w:val="24"/>
        </w:rPr>
        <w:t xml:space="preserve">. The extract (1 mg/mL) was taken in a 10 mL glass tube and made up to a volume of 3 mL with ethanol. Then, 0.5 mL </w:t>
      </w:r>
      <w:proofErr w:type="spellStart"/>
      <w:r w:rsidRPr="004C3AAA">
        <w:rPr>
          <w:sz w:val="24"/>
          <w:szCs w:val="24"/>
        </w:rPr>
        <w:t>Folin</w:t>
      </w:r>
      <w:proofErr w:type="spellEnd"/>
      <w:r w:rsidRPr="004C3AAA">
        <w:rPr>
          <w:sz w:val="24"/>
          <w:szCs w:val="24"/>
        </w:rPr>
        <w:t xml:space="preserve"> </w:t>
      </w:r>
      <w:proofErr w:type="spellStart"/>
      <w:r w:rsidRPr="004C3AAA">
        <w:rPr>
          <w:sz w:val="24"/>
          <w:szCs w:val="24"/>
        </w:rPr>
        <w:t>ciocalteau</w:t>
      </w:r>
      <w:proofErr w:type="spellEnd"/>
      <w:r w:rsidRPr="004C3AAA">
        <w:rPr>
          <w:sz w:val="24"/>
          <w:szCs w:val="24"/>
        </w:rPr>
        <w:t xml:space="preserve"> reagent (1:1 with water) and 4 mL sodium carbonate (7.5%) were added sequentially in each tube. The test solution was kept in dark for 30 min, then cooled and absorbance was measured at 765 nm</w:t>
      </w:r>
      <w:r w:rsidR="00794F3F" w:rsidRPr="004C3AAA">
        <w:rPr>
          <w:sz w:val="23"/>
          <w:szCs w:val="23"/>
        </w:rPr>
        <w:t xml:space="preserve"> by Shimadzu model 1800 double beam spectrophotometer</w:t>
      </w:r>
      <w:r w:rsidRPr="004C3AAA">
        <w:rPr>
          <w:sz w:val="24"/>
          <w:szCs w:val="24"/>
        </w:rPr>
        <w:t xml:space="preserve">. TPC were expressed as gallic acid equivalents </w:t>
      </w:r>
      <w:proofErr w:type="spellStart"/>
      <w:r w:rsidRPr="004C3AAA">
        <w:rPr>
          <w:sz w:val="24"/>
          <w:szCs w:val="24"/>
        </w:rPr>
        <w:t>μg</w:t>
      </w:r>
      <w:proofErr w:type="spellEnd"/>
      <w:r w:rsidRPr="004C3AAA">
        <w:rPr>
          <w:sz w:val="24"/>
          <w:szCs w:val="24"/>
        </w:rPr>
        <w:t>/mg dry weight using the following equation based on the calibration curve: Y = 0.01928x + 0.00005, R</w:t>
      </w:r>
      <w:r w:rsidR="00794F3F" w:rsidRPr="004C3AAA">
        <w:rPr>
          <w:sz w:val="24"/>
          <w:szCs w:val="24"/>
          <w:vertAlign w:val="superscript"/>
        </w:rPr>
        <w:t>2</w:t>
      </w:r>
      <w:r w:rsidRPr="004C3AAA">
        <w:rPr>
          <w:sz w:val="24"/>
          <w:szCs w:val="24"/>
        </w:rPr>
        <w:t xml:space="preserve"> = 0.998. </w:t>
      </w:r>
    </w:p>
    <w:p w14:paraId="00000029" w14:textId="55F7F00B" w:rsidR="0060225D" w:rsidRPr="004C3AAA" w:rsidRDefault="006B3800">
      <w:pPr>
        <w:rPr>
          <w:sz w:val="24"/>
          <w:szCs w:val="24"/>
        </w:rPr>
      </w:pPr>
      <w:r w:rsidRPr="004C3AAA">
        <w:rPr>
          <w:sz w:val="24"/>
          <w:szCs w:val="24"/>
        </w:rPr>
        <w:t>Determination of total flavonoid content (TFC)</w:t>
      </w:r>
    </w:p>
    <w:p w14:paraId="0000002A" w14:textId="3AE14040" w:rsidR="0060225D" w:rsidRPr="004C3AAA" w:rsidRDefault="006B3800" w:rsidP="00794F3F">
      <w:pPr>
        <w:rPr>
          <w:sz w:val="24"/>
          <w:szCs w:val="24"/>
        </w:rPr>
      </w:pPr>
      <w:r w:rsidRPr="004C3AAA">
        <w:rPr>
          <w:sz w:val="24"/>
          <w:szCs w:val="24"/>
        </w:rPr>
        <w:t xml:space="preserve">The TFC was determined by adopting the method described by </w:t>
      </w:r>
      <w:r w:rsidR="007F1B7F" w:rsidRPr="004C3AAA">
        <w:rPr>
          <w:sz w:val="24"/>
          <w:szCs w:val="24"/>
        </w:rPr>
        <w:fldChar w:fldCharType="begin"/>
      </w:r>
      <w:r w:rsidR="007F1B7F" w:rsidRPr="004C3AAA">
        <w:rPr>
          <w:sz w:val="24"/>
          <w:szCs w:val="24"/>
        </w:rPr>
        <w:instrText xml:space="preserve"> ADDIN EN.CITE &lt;EndNote&gt;&lt;Cite AuthorYear="1"&gt;&lt;Author&gt;Ordoñez&lt;/Author&gt;&lt;Year&gt;2006&lt;/Year&gt;&lt;RecNum&gt;477&lt;/RecNum&gt;&lt;DisplayText&gt;Ordoñez et al. (2006)&lt;/DisplayText&gt;&lt;record&gt;&lt;rec-number&gt;477&lt;/rec-number&gt;&lt;foreign-keys&gt;&lt;key app="EN" db-id="x0dwdpv5detvd0edewtvxvwy2a5rrf025dss" timestamp="1630573153"&gt;477&lt;/key&gt;&lt;/foreign-keys&gt;&lt;ref-type name="Journal Article"&gt;17&lt;/ref-type&gt;&lt;contributors&gt;&lt;authors&gt;&lt;author&gt;Ordoñez, A. A. L.&lt;/author&gt;&lt;author&gt;Gomez, J. D.&lt;/author&gt;&lt;author&gt;Vattuone, M. A.&lt;/author&gt;&lt;author&gt;lsla, M. I.&lt;/author&gt;&lt;/authors&gt;&lt;/contributors&gt;&lt;titles&gt;&lt;title&gt;&lt;style face="normal" font="default" size="100%"&gt;Antioxidant activities of &lt;/style&gt;&lt;style face="italic" font="default" size="100%"&gt;Sechium edule&lt;/style&gt;&lt;style face="normal" font="default" size="100%"&gt; (Jacq.) Swartz extracts&lt;/style&gt;&lt;/title&gt;&lt;secondary-title&gt;Food Chemistry&lt;/secondary-title&gt;&lt;/titles&gt;&lt;periodical&gt;&lt;full-title&gt;Food Chemistry&lt;/full-title&gt;&lt;/periodical&gt;&lt;pages&gt;452-458&lt;/pages&gt;&lt;volume&gt;97&lt;/volume&gt;&lt;number&gt;3&lt;/number&gt;&lt;keywords&gt;&lt;keyword&gt;Antioxidant capacity&lt;/keyword&gt;&lt;/keywords&gt;&lt;dates&gt;&lt;year&gt;2006&lt;/year&gt;&lt;pub-dates&gt;&lt;date&gt;2006/08/01/&lt;/date&gt;&lt;/pub-dates&gt;&lt;/dates&gt;&lt;isbn&gt;0308-8146&lt;/isbn&gt;&lt;urls&gt;&lt;related-urls&gt;&lt;url&gt;https://www.sciencedirect.com/science/article/pii/S0308814605003997&lt;/url&gt;&lt;/related-urls&gt;&lt;/urls&gt;&lt;electronic-resource-num&gt;https://doi.org/10.1016/j.foodchem.2005.05.024&lt;/electronic-resource-num&gt;&lt;/record&gt;&lt;/Cite&gt;&lt;/EndNote&gt;</w:instrText>
      </w:r>
      <w:r w:rsidR="007F1B7F" w:rsidRPr="004C3AAA">
        <w:rPr>
          <w:sz w:val="24"/>
          <w:szCs w:val="24"/>
        </w:rPr>
        <w:fldChar w:fldCharType="separate"/>
      </w:r>
      <w:r w:rsidR="007F1B7F" w:rsidRPr="004C3AAA">
        <w:rPr>
          <w:noProof/>
          <w:sz w:val="24"/>
          <w:szCs w:val="24"/>
        </w:rPr>
        <w:t>Ordoñez et al. (2006)</w:t>
      </w:r>
      <w:r w:rsidR="007F1B7F" w:rsidRPr="004C3AAA">
        <w:rPr>
          <w:sz w:val="24"/>
          <w:szCs w:val="24"/>
        </w:rPr>
        <w:fldChar w:fldCharType="end"/>
      </w:r>
      <w:r w:rsidRPr="004C3AAA">
        <w:rPr>
          <w:sz w:val="24"/>
          <w:szCs w:val="24"/>
        </w:rPr>
        <w:t xml:space="preserve">. Aliquots of each extract was pipetted out in series of test tubes and volume was made up to 2 mL with ethanol. Then, 0.3 mL of sodium nitrite (5%) was added to each tube and incubated for 5 min at room temperature. 0.3 mL of aluminum chloride solution (10%) was added and incubated for 5 min and then 2 mL of sodium hydroxide (1 M) were added. Absorbance was measured at 415 nm against a reagent blank. TFC was expressed as quercetin equivalents </w:t>
      </w:r>
      <w:proofErr w:type="spellStart"/>
      <w:r w:rsidRPr="004C3AAA">
        <w:rPr>
          <w:sz w:val="24"/>
          <w:szCs w:val="24"/>
        </w:rPr>
        <w:t>μg</w:t>
      </w:r>
      <w:proofErr w:type="spellEnd"/>
      <w:r w:rsidRPr="004C3AAA">
        <w:rPr>
          <w:sz w:val="24"/>
          <w:szCs w:val="24"/>
        </w:rPr>
        <w:t xml:space="preserve">/mg dry weight using the following equation based on the calibration curve: Y = 0.0051x + 0.002, </w:t>
      </w:r>
      <w:r w:rsidR="00794F3F" w:rsidRPr="004C3AAA">
        <w:rPr>
          <w:sz w:val="24"/>
          <w:szCs w:val="24"/>
        </w:rPr>
        <w:t>R</w:t>
      </w:r>
      <w:r w:rsidR="00794F3F" w:rsidRPr="004C3AAA">
        <w:rPr>
          <w:sz w:val="24"/>
          <w:szCs w:val="24"/>
          <w:vertAlign w:val="superscript"/>
        </w:rPr>
        <w:t>2</w:t>
      </w:r>
      <w:r w:rsidRPr="004C3AAA">
        <w:rPr>
          <w:sz w:val="24"/>
          <w:szCs w:val="24"/>
        </w:rPr>
        <w:t xml:space="preserve"> = 0.999. </w:t>
      </w:r>
    </w:p>
    <w:p w14:paraId="0000002B" w14:textId="23C0B53B" w:rsidR="0060225D" w:rsidRPr="004C3AAA" w:rsidRDefault="006B3800">
      <w:pPr>
        <w:rPr>
          <w:sz w:val="24"/>
          <w:szCs w:val="24"/>
        </w:rPr>
      </w:pPr>
      <w:r w:rsidRPr="004C3AAA">
        <w:rPr>
          <w:sz w:val="24"/>
          <w:szCs w:val="24"/>
        </w:rPr>
        <w:t>Determination of antioxidant activity</w:t>
      </w:r>
    </w:p>
    <w:p w14:paraId="0000002C" w14:textId="32F56D1B" w:rsidR="0060225D" w:rsidRPr="004C3AAA" w:rsidRDefault="006B3800">
      <w:pPr>
        <w:rPr>
          <w:sz w:val="24"/>
          <w:szCs w:val="24"/>
        </w:rPr>
      </w:pPr>
      <w:r w:rsidRPr="004C3AAA">
        <w:rPr>
          <w:sz w:val="24"/>
          <w:szCs w:val="24"/>
        </w:rPr>
        <w:t>DPPH radical-scavenging activity</w:t>
      </w:r>
    </w:p>
    <w:p w14:paraId="0000002D" w14:textId="552FB3E9" w:rsidR="0060225D" w:rsidRPr="004C3AAA" w:rsidRDefault="006B3800">
      <w:pPr>
        <w:rPr>
          <w:sz w:val="24"/>
          <w:szCs w:val="24"/>
        </w:rPr>
      </w:pPr>
      <w:r w:rsidRPr="004C3AAA">
        <w:rPr>
          <w:sz w:val="24"/>
          <w:szCs w:val="24"/>
        </w:rPr>
        <w:t xml:space="preserve">Antioxidant activity of the extracts was estimated using DPPH </w:t>
      </w:r>
      <w:r w:rsidRPr="004C3AAA">
        <w:rPr>
          <w:i/>
          <w:sz w:val="24"/>
          <w:szCs w:val="24"/>
        </w:rPr>
        <w:t>in vitro</w:t>
      </w:r>
      <w:r w:rsidRPr="004C3AAA">
        <w:rPr>
          <w:sz w:val="24"/>
          <w:szCs w:val="24"/>
        </w:rPr>
        <w:t xml:space="preserve"> method</w:t>
      </w:r>
      <w:r w:rsidR="007F1B7F" w:rsidRPr="004C3AAA">
        <w:rPr>
          <w:sz w:val="24"/>
          <w:szCs w:val="24"/>
        </w:rPr>
        <w:t xml:space="preserve"> </w:t>
      </w:r>
      <w:r w:rsidR="007F1B7F" w:rsidRPr="004C3AAA">
        <w:rPr>
          <w:sz w:val="24"/>
          <w:szCs w:val="24"/>
        </w:rPr>
        <w:fldChar w:fldCharType="begin"/>
      </w:r>
      <w:r w:rsidR="00EA6C4C">
        <w:rPr>
          <w:sz w:val="24"/>
          <w:szCs w:val="24"/>
        </w:rPr>
        <w:instrText xml:space="preserve"> ADDIN EN.CITE &lt;EndNote&gt;&lt;Cite&gt;&lt;Author&gt;Wang&lt;/Author&gt;&lt;Year&gt;2007&lt;/Year&gt;&lt;RecNum&gt;44&lt;/RecNum&gt;&lt;DisplayText&gt;(Wang et al., 2007)&lt;/DisplayText&gt;&lt;record&gt;&lt;rec-number&gt;44&lt;/rec-number&gt;&lt;foreign-keys&gt;&lt;key app="EN" db-id="920pt0sf3azpdde9dr7vwe2nr9swwrf9wzzv" timestamp="1640459885"&gt;44&lt;/key&gt;&lt;/foreign-keys&gt;&lt;ref-type name="Journal Article"&gt;17&lt;/ref-type&gt;&lt;contributors&gt;&lt;authors&gt;&lt;author&gt;Wang, Kai-Jin&lt;/author&gt;&lt;author&gt;Yang, Chong-Ren&lt;/author&gt;&lt;author&gt;Zhang, Ying-Jun&lt;/author&gt;&lt;/authors&gt;&lt;/contributors&gt;&lt;titles&gt;&lt;title&gt;Phenolic antioxidants from Chinese toon (fresh young leaves and shoots of Toona sinensis)&lt;/title&gt;&lt;secondary-title&gt;Food chemistry&lt;/secondary-title&gt;&lt;/titles&gt;&lt;periodical&gt;&lt;full-title&gt;Food chemistry&lt;/full-title&gt;&lt;/periodical&gt;&lt;pages&gt;365-371&lt;/pages&gt;&lt;volume&gt;101&lt;/volume&gt;&lt;number&gt;1&lt;/number&gt;&lt;dates&gt;&lt;year&gt;2007&lt;/year&gt;&lt;/dates&gt;&lt;isbn&gt;0308-8146&lt;/isbn&gt;&lt;urls&gt;&lt;/urls&gt;&lt;/record&gt;&lt;/Cite&gt;&lt;/EndNote&gt;</w:instrText>
      </w:r>
      <w:r w:rsidR="007F1B7F" w:rsidRPr="004C3AAA">
        <w:rPr>
          <w:sz w:val="24"/>
          <w:szCs w:val="24"/>
        </w:rPr>
        <w:fldChar w:fldCharType="separate"/>
      </w:r>
      <w:r w:rsidR="007F1B7F" w:rsidRPr="004C3AAA">
        <w:rPr>
          <w:noProof/>
          <w:sz w:val="24"/>
          <w:szCs w:val="24"/>
        </w:rPr>
        <w:t>(Wang et al., 2007)</w:t>
      </w:r>
      <w:r w:rsidR="007F1B7F" w:rsidRPr="004C3AAA">
        <w:rPr>
          <w:sz w:val="24"/>
          <w:szCs w:val="24"/>
        </w:rPr>
        <w:fldChar w:fldCharType="end"/>
      </w:r>
      <w:r w:rsidRPr="004C3AAA">
        <w:rPr>
          <w:sz w:val="24"/>
          <w:szCs w:val="24"/>
        </w:rPr>
        <w:t>. Test samples were dissolved separately in methanol to get test solution of 1 mg/</w:t>
      </w:r>
      <w:proofErr w:type="spellStart"/>
      <w:r w:rsidRPr="004C3AAA">
        <w:rPr>
          <w:sz w:val="24"/>
          <w:szCs w:val="24"/>
        </w:rPr>
        <w:t>mL.</w:t>
      </w:r>
      <w:proofErr w:type="spellEnd"/>
      <w:r w:rsidRPr="004C3AAA">
        <w:rPr>
          <w:sz w:val="24"/>
          <w:szCs w:val="24"/>
        </w:rPr>
        <w:t xml:space="preserve"> Series of extract solutions of different concentrations (1, 5, 10, 20, 40, 60, 80 and 100 </w:t>
      </w:r>
      <w:proofErr w:type="spellStart"/>
      <w:r w:rsidRPr="004C3AAA">
        <w:rPr>
          <w:sz w:val="24"/>
          <w:szCs w:val="24"/>
        </w:rPr>
        <w:t>μg</w:t>
      </w:r>
      <w:proofErr w:type="spellEnd"/>
      <w:r w:rsidRPr="004C3AAA">
        <w:rPr>
          <w:sz w:val="24"/>
          <w:szCs w:val="24"/>
        </w:rPr>
        <w:t xml:space="preserve">/mL) were prepared by diluting with methanol. Assays were performed in 96-well microtiter plates. In each well,140 </w:t>
      </w:r>
      <w:proofErr w:type="spellStart"/>
      <w:r w:rsidRPr="004C3AAA">
        <w:rPr>
          <w:sz w:val="24"/>
          <w:szCs w:val="24"/>
        </w:rPr>
        <w:t>μL</w:t>
      </w:r>
      <w:proofErr w:type="spellEnd"/>
      <w:r w:rsidRPr="004C3AAA">
        <w:rPr>
          <w:sz w:val="24"/>
          <w:szCs w:val="24"/>
        </w:rPr>
        <w:t xml:space="preserve"> of 0.6 × 10</w:t>
      </w:r>
      <w:r w:rsidRPr="004C3AAA">
        <w:rPr>
          <w:sz w:val="24"/>
          <w:szCs w:val="24"/>
          <w:vertAlign w:val="superscript"/>
        </w:rPr>
        <w:t>− 6</w:t>
      </w:r>
      <w:r w:rsidRPr="004C3AAA">
        <w:rPr>
          <w:sz w:val="24"/>
          <w:szCs w:val="24"/>
        </w:rPr>
        <w:t xml:space="preserve"> mol/L DPPH was added to 70 </w:t>
      </w:r>
      <w:proofErr w:type="spellStart"/>
      <w:r w:rsidRPr="004C3AAA">
        <w:rPr>
          <w:sz w:val="24"/>
          <w:szCs w:val="24"/>
        </w:rPr>
        <w:t>μL</w:t>
      </w:r>
      <w:proofErr w:type="spellEnd"/>
      <w:r w:rsidRPr="004C3AAA">
        <w:rPr>
          <w:sz w:val="24"/>
          <w:szCs w:val="24"/>
        </w:rPr>
        <w:t xml:space="preserve"> of sample. The mixture was shaken gently and left to stand for 30 min in dark at room temperature. The absorbance was measured spectrophotometrically at 517 nm using a microtiter plate reader (Synergy HT </w:t>
      </w:r>
      <w:proofErr w:type="spellStart"/>
      <w:r w:rsidRPr="004C3AAA">
        <w:rPr>
          <w:sz w:val="24"/>
          <w:szCs w:val="24"/>
        </w:rPr>
        <w:t>Biotek</w:t>
      </w:r>
      <w:proofErr w:type="spellEnd"/>
      <w:r w:rsidRPr="004C3AAA">
        <w:rPr>
          <w:sz w:val="24"/>
          <w:szCs w:val="24"/>
        </w:rPr>
        <w:t xml:space="preserve">, </w:t>
      </w:r>
      <w:proofErr w:type="spellStart"/>
      <w:r w:rsidRPr="004C3AAA">
        <w:rPr>
          <w:sz w:val="24"/>
          <w:szCs w:val="24"/>
        </w:rPr>
        <w:t>logiciel</w:t>
      </w:r>
      <w:proofErr w:type="spellEnd"/>
      <w:r w:rsidRPr="004C3AAA">
        <w:rPr>
          <w:sz w:val="24"/>
          <w:szCs w:val="24"/>
        </w:rPr>
        <w:t xml:space="preserve"> GEN5). Blank was done in the same way using methanol and sample without DPPH and control was done in the same way but using DPPH and methanol without sample. The ability to scavenge DPPH radical was calculated by the following equation:</w:t>
      </w:r>
    </w:p>
    <w:p w14:paraId="0000002E" w14:textId="77777777" w:rsidR="0060225D" w:rsidRPr="004C3AAA" w:rsidRDefault="006B3800">
      <w:pPr>
        <w:rPr>
          <w:sz w:val="24"/>
          <w:szCs w:val="24"/>
        </w:rPr>
      </w:pPr>
      <w:r w:rsidRPr="004C3AAA">
        <w:rPr>
          <w:sz w:val="24"/>
          <w:szCs w:val="24"/>
        </w:rPr>
        <w:lastRenderedPageBreak/>
        <w:t xml:space="preserve">DPPH radical scavenging activity (%) = 1- </w:t>
      </w:r>
      <w:proofErr w:type="gramStart"/>
      <w:r w:rsidRPr="004C3AAA">
        <w:rPr>
          <w:sz w:val="24"/>
          <w:szCs w:val="24"/>
        </w:rPr>
        <w:t xml:space="preserve">[( </w:t>
      </w:r>
      <w:proofErr w:type="spellStart"/>
      <w:r w:rsidRPr="004C3AAA">
        <w:rPr>
          <w:sz w:val="24"/>
          <w:szCs w:val="24"/>
        </w:rPr>
        <w:t>Abs</w:t>
      </w:r>
      <w:r w:rsidRPr="004C3AAA">
        <w:rPr>
          <w:sz w:val="24"/>
          <w:szCs w:val="24"/>
          <w:vertAlign w:val="subscript"/>
        </w:rPr>
        <w:t>sample</w:t>
      </w:r>
      <w:proofErr w:type="spellEnd"/>
      <w:proofErr w:type="gramEnd"/>
      <w:r w:rsidRPr="004C3AAA">
        <w:rPr>
          <w:sz w:val="24"/>
          <w:szCs w:val="24"/>
          <w:vertAlign w:val="subscript"/>
        </w:rPr>
        <w:t xml:space="preserve"> </w:t>
      </w:r>
      <w:r w:rsidRPr="004C3AAA">
        <w:rPr>
          <w:sz w:val="24"/>
          <w:szCs w:val="24"/>
        </w:rPr>
        <w:t xml:space="preserve">– </w:t>
      </w:r>
      <w:proofErr w:type="spellStart"/>
      <w:r w:rsidRPr="004C3AAA">
        <w:rPr>
          <w:sz w:val="24"/>
          <w:szCs w:val="24"/>
        </w:rPr>
        <w:t>Abs</w:t>
      </w:r>
      <w:r w:rsidRPr="004C3AAA">
        <w:rPr>
          <w:sz w:val="24"/>
          <w:szCs w:val="24"/>
          <w:vertAlign w:val="subscript"/>
        </w:rPr>
        <w:t>blank</w:t>
      </w:r>
      <w:proofErr w:type="spellEnd"/>
      <w:r w:rsidRPr="004C3AAA">
        <w:rPr>
          <w:sz w:val="24"/>
          <w:szCs w:val="24"/>
        </w:rPr>
        <w:t xml:space="preserve">)] /( </w:t>
      </w:r>
      <w:proofErr w:type="spellStart"/>
      <w:r w:rsidRPr="004C3AAA">
        <w:rPr>
          <w:sz w:val="24"/>
          <w:szCs w:val="24"/>
        </w:rPr>
        <w:t>Abs</w:t>
      </w:r>
      <w:r w:rsidRPr="004C3AAA">
        <w:rPr>
          <w:sz w:val="24"/>
          <w:szCs w:val="24"/>
          <w:vertAlign w:val="subscript"/>
        </w:rPr>
        <w:t>control</w:t>
      </w:r>
      <w:proofErr w:type="spellEnd"/>
      <w:r w:rsidRPr="004C3AAA">
        <w:rPr>
          <w:sz w:val="24"/>
          <w:szCs w:val="24"/>
        </w:rPr>
        <w:t>) x 100</w:t>
      </w:r>
    </w:p>
    <w:p w14:paraId="0000002F" w14:textId="77777777" w:rsidR="0060225D" w:rsidRPr="004C3AAA" w:rsidRDefault="006B3800">
      <w:pPr>
        <w:rPr>
          <w:sz w:val="24"/>
          <w:szCs w:val="24"/>
        </w:rPr>
      </w:pPr>
      <w:r w:rsidRPr="004C3AAA">
        <w:rPr>
          <w:sz w:val="24"/>
          <w:szCs w:val="24"/>
        </w:rPr>
        <w:t xml:space="preserve">where </w:t>
      </w:r>
      <w:proofErr w:type="spellStart"/>
      <w:r w:rsidRPr="004C3AAA">
        <w:rPr>
          <w:sz w:val="24"/>
          <w:szCs w:val="24"/>
        </w:rPr>
        <w:t>Abs</w:t>
      </w:r>
      <w:r w:rsidRPr="004C3AAA">
        <w:rPr>
          <w:sz w:val="24"/>
          <w:szCs w:val="24"/>
          <w:vertAlign w:val="subscript"/>
        </w:rPr>
        <w:t>sample</w:t>
      </w:r>
      <w:proofErr w:type="spellEnd"/>
      <w:r w:rsidRPr="004C3AAA">
        <w:rPr>
          <w:sz w:val="24"/>
          <w:szCs w:val="24"/>
        </w:rPr>
        <w:t xml:space="preserve"> is the absorbance of DPPH radical + sample, </w:t>
      </w:r>
      <w:proofErr w:type="spellStart"/>
      <w:r w:rsidRPr="004C3AAA">
        <w:rPr>
          <w:sz w:val="24"/>
          <w:szCs w:val="24"/>
        </w:rPr>
        <w:t>Abs</w:t>
      </w:r>
      <w:r w:rsidRPr="004C3AAA">
        <w:rPr>
          <w:sz w:val="24"/>
          <w:szCs w:val="24"/>
          <w:vertAlign w:val="subscript"/>
        </w:rPr>
        <w:t>blank</w:t>
      </w:r>
      <w:proofErr w:type="spellEnd"/>
      <w:r w:rsidRPr="004C3AAA">
        <w:rPr>
          <w:sz w:val="24"/>
          <w:szCs w:val="24"/>
        </w:rPr>
        <w:t xml:space="preserve"> is the absorbance of sample + methanol, and </w:t>
      </w:r>
      <w:proofErr w:type="spellStart"/>
      <w:r w:rsidRPr="004C3AAA">
        <w:rPr>
          <w:sz w:val="24"/>
          <w:szCs w:val="24"/>
        </w:rPr>
        <w:t>Abs</w:t>
      </w:r>
      <w:r w:rsidRPr="004C3AAA">
        <w:rPr>
          <w:sz w:val="24"/>
          <w:szCs w:val="24"/>
          <w:vertAlign w:val="subscript"/>
        </w:rPr>
        <w:t>control</w:t>
      </w:r>
      <w:proofErr w:type="spellEnd"/>
      <w:r w:rsidRPr="004C3AAA">
        <w:rPr>
          <w:sz w:val="24"/>
          <w:szCs w:val="24"/>
        </w:rPr>
        <w:t xml:space="preserve"> is the absorbance of DPPH radical + methanol.</w:t>
      </w:r>
    </w:p>
    <w:p w14:paraId="00000030" w14:textId="77777777" w:rsidR="0060225D" w:rsidRPr="004C3AAA" w:rsidRDefault="006B3800">
      <w:pPr>
        <w:rPr>
          <w:sz w:val="24"/>
          <w:szCs w:val="24"/>
        </w:rPr>
      </w:pPr>
      <w:r w:rsidRPr="004C3AAA">
        <w:rPr>
          <w:sz w:val="24"/>
          <w:szCs w:val="24"/>
        </w:rPr>
        <w:t>The IC</w:t>
      </w:r>
      <w:r w:rsidRPr="004C3AAA">
        <w:rPr>
          <w:sz w:val="24"/>
          <w:szCs w:val="24"/>
          <w:vertAlign w:val="subscript"/>
        </w:rPr>
        <w:t>50</w:t>
      </w:r>
      <w:r w:rsidRPr="004C3AAA">
        <w:rPr>
          <w:sz w:val="24"/>
          <w:szCs w:val="24"/>
        </w:rPr>
        <w:t xml:space="preserve"> value was calculated from the linear regression of concentration plots of the test sample against the mean percentage of the antioxidant activity. </w:t>
      </w:r>
    </w:p>
    <w:p w14:paraId="00000031" w14:textId="75286960" w:rsidR="0060225D" w:rsidRPr="004C3AAA" w:rsidRDefault="006B3800">
      <w:pPr>
        <w:rPr>
          <w:sz w:val="24"/>
          <w:szCs w:val="24"/>
        </w:rPr>
      </w:pPr>
      <w:r w:rsidRPr="004C3AAA">
        <w:rPr>
          <w:sz w:val="24"/>
          <w:szCs w:val="24"/>
        </w:rPr>
        <w:t>ABTS radical-scavenging activity</w:t>
      </w:r>
    </w:p>
    <w:p w14:paraId="00000032" w14:textId="6B8A2A0D" w:rsidR="0060225D" w:rsidRPr="004C3AAA" w:rsidRDefault="00960195" w:rsidP="00AF414F">
      <w:pPr>
        <w:rPr>
          <w:sz w:val="24"/>
          <w:szCs w:val="24"/>
        </w:rPr>
      </w:pPr>
      <w:r w:rsidRPr="004C3AAA">
        <w:rPr>
          <w:sz w:val="24"/>
          <w:szCs w:val="24"/>
        </w:rPr>
        <w:t>ABTS assay was per</w:t>
      </w:r>
      <w:r w:rsidR="006B3800" w:rsidRPr="004C3AAA">
        <w:rPr>
          <w:sz w:val="24"/>
          <w:szCs w:val="24"/>
        </w:rPr>
        <w:t>formed based on the method of</w:t>
      </w:r>
      <w:r w:rsidR="00E147AD" w:rsidRPr="004C3AAA">
        <w:rPr>
          <w:sz w:val="24"/>
          <w:szCs w:val="24"/>
        </w:rPr>
        <w:t xml:space="preserve"> </w:t>
      </w:r>
      <w:r w:rsidR="00E147AD" w:rsidRPr="004C3AAA">
        <w:rPr>
          <w:sz w:val="24"/>
          <w:szCs w:val="24"/>
        </w:rPr>
        <w:fldChar w:fldCharType="begin"/>
      </w:r>
      <w:r w:rsidR="00EA6C4C">
        <w:rPr>
          <w:sz w:val="24"/>
          <w:szCs w:val="24"/>
        </w:rPr>
        <w:instrText xml:space="preserve"> ADDIN EN.CITE &lt;EndNote&gt;&lt;Cite AuthorYear="1"&gt;&lt;Author&gt;Re&lt;/Author&gt;&lt;Year&gt;1999&lt;/Year&gt;&lt;RecNum&gt;36&lt;/RecNum&gt;&lt;DisplayText&gt;Re et al. (1999)&lt;/DisplayText&gt;&lt;record&gt;&lt;rec-number&gt;36&lt;/rec-number&gt;&lt;foreign-keys&gt;&lt;key app="EN" db-id="920pt0sf3azpdde9dr7vwe2nr9swwrf9wzzv" timestamp="1640459686"&gt;36&lt;/key&gt;&lt;/foreign-keys&gt;&lt;ref-type name="Journal Article"&gt;17&lt;/ref-type&gt;&lt;contributors&gt;&lt;authors&gt;&lt;author&gt;Re, Roberta&lt;/author&gt;&lt;author&gt;Pellegrini, Nicoletta&lt;/author&gt;&lt;author&gt;Proteggente, Anna&lt;/author&gt;&lt;author&gt;Pannala, Ananth&lt;/author&gt;&lt;author&gt;Yang, Min&lt;/author&gt;&lt;author&gt;Rice-Evans, Catherine&lt;/author&gt;&lt;/authors&gt;&lt;/contributors&gt;&lt;titles&gt;&lt;title&gt;Antioxidant activity applying an improved ABTS radical cation decolorization assay&lt;/title&gt;&lt;secondary-title&gt;Free radical biology and medicine&lt;/secondary-title&gt;&lt;/titles&gt;&lt;periodical&gt;&lt;full-title&gt;Free radical biology and medicine&lt;/full-title&gt;&lt;/periodical&gt;&lt;pages&gt;1231-1237&lt;/pages&gt;&lt;volume&gt;26&lt;/volume&gt;&lt;number&gt;9-10&lt;/number&gt;&lt;dates&gt;&lt;year&gt;1999&lt;/year&gt;&lt;/dates&gt;&lt;isbn&gt;0891-5849&lt;/isbn&gt;&lt;urls&gt;&lt;/urls&gt;&lt;/record&gt;&lt;/Cite&gt;&lt;/EndNote&gt;</w:instrText>
      </w:r>
      <w:r w:rsidR="00E147AD" w:rsidRPr="004C3AAA">
        <w:rPr>
          <w:sz w:val="24"/>
          <w:szCs w:val="24"/>
        </w:rPr>
        <w:fldChar w:fldCharType="separate"/>
      </w:r>
      <w:r w:rsidR="00E147AD" w:rsidRPr="004C3AAA">
        <w:rPr>
          <w:noProof/>
          <w:sz w:val="24"/>
          <w:szCs w:val="24"/>
        </w:rPr>
        <w:t>Re et al. (1999)</w:t>
      </w:r>
      <w:r w:rsidR="00E147AD" w:rsidRPr="004C3AAA">
        <w:rPr>
          <w:sz w:val="24"/>
          <w:szCs w:val="24"/>
        </w:rPr>
        <w:fldChar w:fldCharType="end"/>
      </w:r>
      <w:r w:rsidR="006B3800" w:rsidRPr="004C3AAA">
        <w:rPr>
          <w:sz w:val="24"/>
          <w:szCs w:val="24"/>
        </w:rPr>
        <w:t>. Test samples were dissolved separately in methanol to get test solution of 1 mg/</w:t>
      </w:r>
      <w:proofErr w:type="spellStart"/>
      <w:r w:rsidR="006B3800" w:rsidRPr="004C3AAA">
        <w:rPr>
          <w:sz w:val="24"/>
          <w:szCs w:val="24"/>
        </w:rPr>
        <w:t>mL.</w:t>
      </w:r>
      <w:proofErr w:type="spellEnd"/>
      <w:r w:rsidR="006B3800" w:rsidRPr="004C3AAA">
        <w:rPr>
          <w:sz w:val="24"/>
          <w:szCs w:val="24"/>
        </w:rPr>
        <w:t xml:space="preserve"> Series of extract/isolated compound solutions of different concentrations (1, 5, 10, 20, 40, 60, 80 and 100 </w:t>
      </w:r>
      <w:proofErr w:type="spellStart"/>
      <w:r w:rsidR="006B3800" w:rsidRPr="004C3AAA">
        <w:rPr>
          <w:sz w:val="24"/>
          <w:szCs w:val="24"/>
        </w:rPr>
        <w:t>μg</w:t>
      </w:r>
      <w:proofErr w:type="spellEnd"/>
      <w:r w:rsidR="006B3800" w:rsidRPr="004C3AAA">
        <w:rPr>
          <w:sz w:val="24"/>
          <w:szCs w:val="24"/>
        </w:rPr>
        <w:t>/mL) were prepared by diluting with methanol. The ABTS radical cation (</w:t>
      </w:r>
      <w:r w:rsidRPr="004C3AAA">
        <w:rPr>
          <w:sz w:val="24"/>
          <w:szCs w:val="24"/>
        </w:rPr>
        <w:t>ABTS</w:t>
      </w:r>
      <w:r w:rsidRPr="004C3AAA">
        <w:rPr>
          <w:sz w:val="24"/>
          <w:szCs w:val="24"/>
          <w:vertAlign w:val="subscript"/>
        </w:rPr>
        <w:t>*</w:t>
      </w:r>
      <w:r w:rsidRPr="004C3AAA">
        <w:rPr>
          <w:sz w:val="24"/>
          <w:szCs w:val="24"/>
          <w:vertAlign w:val="superscript"/>
        </w:rPr>
        <w:t>+</w:t>
      </w:r>
      <w:r w:rsidR="006B3800" w:rsidRPr="004C3AAA">
        <w:rPr>
          <w:sz w:val="24"/>
          <w:szCs w:val="24"/>
        </w:rPr>
        <w:t xml:space="preserve">) was produced by reacting 7 mM stock solution of ABTS with 2.45 mM potassium persulfate and allowing the mixture to stand in the dark at room temperature for 12 h before use. The obtained </w:t>
      </w:r>
      <w:r w:rsidR="00AF414F" w:rsidRPr="004C3AAA">
        <w:rPr>
          <w:sz w:val="24"/>
          <w:szCs w:val="24"/>
        </w:rPr>
        <w:t>ABTS</w:t>
      </w:r>
      <w:r w:rsidR="00AF414F" w:rsidRPr="004C3AAA">
        <w:rPr>
          <w:sz w:val="24"/>
          <w:szCs w:val="24"/>
          <w:vertAlign w:val="subscript"/>
        </w:rPr>
        <w:t>*</w:t>
      </w:r>
      <w:r w:rsidR="00AF414F" w:rsidRPr="004C3AAA">
        <w:rPr>
          <w:sz w:val="24"/>
          <w:szCs w:val="24"/>
          <w:vertAlign w:val="superscript"/>
        </w:rPr>
        <w:t>+</w:t>
      </w:r>
      <w:r w:rsidR="00AF414F" w:rsidRPr="004C3AAA">
        <w:rPr>
          <w:sz w:val="24"/>
          <w:szCs w:val="24"/>
        </w:rPr>
        <w:t xml:space="preserve"> </w:t>
      </w:r>
      <w:r w:rsidR="006B3800" w:rsidRPr="004C3AAA">
        <w:rPr>
          <w:sz w:val="24"/>
          <w:szCs w:val="24"/>
        </w:rPr>
        <w:t xml:space="preserve">solution was diluted with ethanol to an absorbance of 0.700 ± 0.02 at 734 nm. 190 </w:t>
      </w:r>
      <w:proofErr w:type="spellStart"/>
      <w:r w:rsidR="006B3800" w:rsidRPr="004C3AAA">
        <w:rPr>
          <w:sz w:val="24"/>
          <w:szCs w:val="24"/>
        </w:rPr>
        <w:t>μL</w:t>
      </w:r>
      <w:proofErr w:type="spellEnd"/>
      <w:r w:rsidR="006B3800" w:rsidRPr="004C3AAA">
        <w:rPr>
          <w:sz w:val="24"/>
          <w:szCs w:val="24"/>
        </w:rPr>
        <w:t xml:space="preserve"> of </w:t>
      </w:r>
      <w:r w:rsidR="00AF414F" w:rsidRPr="004C3AAA">
        <w:rPr>
          <w:sz w:val="24"/>
          <w:szCs w:val="24"/>
        </w:rPr>
        <w:t>ABTS</w:t>
      </w:r>
      <w:r w:rsidR="00AF414F" w:rsidRPr="004C3AAA">
        <w:rPr>
          <w:sz w:val="24"/>
          <w:szCs w:val="24"/>
          <w:vertAlign w:val="subscript"/>
        </w:rPr>
        <w:t>*</w:t>
      </w:r>
      <w:r w:rsidR="00AF414F" w:rsidRPr="004C3AAA">
        <w:rPr>
          <w:sz w:val="24"/>
          <w:szCs w:val="24"/>
          <w:vertAlign w:val="superscript"/>
        </w:rPr>
        <w:t>+</w:t>
      </w:r>
      <w:r w:rsidR="00AF414F" w:rsidRPr="004C3AAA">
        <w:rPr>
          <w:sz w:val="24"/>
          <w:szCs w:val="24"/>
        </w:rPr>
        <w:t xml:space="preserve"> </w:t>
      </w:r>
      <w:r w:rsidR="006B3800" w:rsidRPr="004C3AAA">
        <w:rPr>
          <w:sz w:val="24"/>
          <w:szCs w:val="24"/>
        </w:rPr>
        <w:t xml:space="preserve">solution was added to each well containing 10 </w:t>
      </w:r>
      <w:proofErr w:type="spellStart"/>
      <w:r w:rsidR="006B3800" w:rsidRPr="004C3AAA">
        <w:rPr>
          <w:sz w:val="24"/>
          <w:szCs w:val="24"/>
        </w:rPr>
        <w:t>μL</w:t>
      </w:r>
      <w:proofErr w:type="spellEnd"/>
      <w:r w:rsidR="006B3800" w:rsidRPr="004C3AAA">
        <w:rPr>
          <w:sz w:val="24"/>
          <w:szCs w:val="24"/>
        </w:rPr>
        <w:t xml:space="preserve"> of sample. The mixture was shaken gently and left to stand for 15 min in dark at room temperature. The absorbance was measured spectrophotometrically at 734 nm. The percentage inhibition calculated as:</w:t>
      </w:r>
    </w:p>
    <w:p w14:paraId="00000033" w14:textId="77777777" w:rsidR="0060225D" w:rsidRPr="004C3AAA" w:rsidRDefault="006B3800">
      <w:pPr>
        <w:rPr>
          <w:sz w:val="24"/>
          <w:szCs w:val="24"/>
        </w:rPr>
      </w:pPr>
      <w:r w:rsidRPr="004C3AAA">
        <w:rPr>
          <w:sz w:val="24"/>
          <w:szCs w:val="24"/>
        </w:rPr>
        <w:t>ABTS radical scavenging activity = [(</w:t>
      </w:r>
      <w:proofErr w:type="spellStart"/>
      <w:r w:rsidRPr="004C3AAA">
        <w:rPr>
          <w:sz w:val="24"/>
          <w:szCs w:val="24"/>
        </w:rPr>
        <w:t>Abs</w:t>
      </w:r>
      <w:r w:rsidRPr="004C3AAA">
        <w:rPr>
          <w:sz w:val="24"/>
          <w:szCs w:val="24"/>
          <w:vertAlign w:val="subscript"/>
        </w:rPr>
        <w:t>control</w:t>
      </w:r>
      <w:proofErr w:type="spellEnd"/>
      <w:r w:rsidRPr="004C3AAA">
        <w:rPr>
          <w:sz w:val="24"/>
          <w:szCs w:val="24"/>
        </w:rPr>
        <w:t xml:space="preserve"> –</w:t>
      </w:r>
      <w:proofErr w:type="spellStart"/>
      <w:r w:rsidRPr="004C3AAA">
        <w:rPr>
          <w:sz w:val="24"/>
          <w:szCs w:val="24"/>
        </w:rPr>
        <w:t>Abs</w:t>
      </w:r>
      <w:r w:rsidRPr="004C3AAA">
        <w:rPr>
          <w:sz w:val="24"/>
          <w:szCs w:val="24"/>
          <w:vertAlign w:val="subscript"/>
        </w:rPr>
        <w:t>sample</w:t>
      </w:r>
      <w:proofErr w:type="spellEnd"/>
      <w:r w:rsidRPr="004C3AAA">
        <w:rPr>
          <w:sz w:val="24"/>
          <w:szCs w:val="24"/>
        </w:rPr>
        <w:t xml:space="preserve">)] </w:t>
      </w:r>
      <w:proofErr w:type="gramStart"/>
      <w:r w:rsidRPr="004C3AAA">
        <w:rPr>
          <w:sz w:val="24"/>
          <w:szCs w:val="24"/>
        </w:rPr>
        <w:t xml:space="preserve">/( </w:t>
      </w:r>
      <w:proofErr w:type="spellStart"/>
      <w:r w:rsidRPr="004C3AAA">
        <w:rPr>
          <w:sz w:val="24"/>
          <w:szCs w:val="24"/>
        </w:rPr>
        <w:t>Abs</w:t>
      </w:r>
      <w:r w:rsidRPr="004C3AAA">
        <w:rPr>
          <w:sz w:val="24"/>
          <w:szCs w:val="24"/>
          <w:vertAlign w:val="subscript"/>
        </w:rPr>
        <w:t>control</w:t>
      </w:r>
      <w:proofErr w:type="spellEnd"/>
      <w:proofErr w:type="gramEnd"/>
      <w:r w:rsidRPr="004C3AAA">
        <w:rPr>
          <w:sz w:val="24"/>
          <w:szCs w:val="24"/>
        </w:rPr>
        <w:t xml:space="preserve">) x 100 </w:t>
      </w:r>
    </w:p>
    <w:p w14:paraId="00000034" w14:textId="16066278" w:rsidR="0060225D" w:rsidRPr="004C3AAA" w:rsidRDefault="006B3800" w:rsidP="00AF414F">
      <w:pPr>
        <w:rPr>
          <w:sz w:val="24"/>
          <w:szCs w:val="24"/>
        </w:rPr>
      </w:pPr>
      <w:r w:rsidRPr="004C3AAA">
        <w:rPr>
          <w:sz w:val="24"/>
          <w:szCs w:val="24"/>
        </w:rPr>
        <w:t xml:space="preserve">where </w:t>
      </w:r>
      <w:proofErr w:type="spellStart"/>
      <w:r w:rsidRPr="004C3AAA">
        <w:rPr>
          <w:sz w:val="24"/>
          <w:szCs w:val="24"/>
        </w:rPr>
        <w:t>Abs</w:t>
      </w:r>
      <w:r w:rsidRPr="004C3AAA">
        <w:rPr>
          <w:sz w:val="24"/>
          <w:szCs w:val="24"/>
          <w:vertAlign w:val="subscript"/>
        </w:rPr>
        <w:t>control</w:t>
      </w:r>
      <w:proofErr w:type="spellEnd"/>
      <w:r w:rsidRPr="004C3AAA">
        <w:rPr>
          <w:sz w:val="24"/>
          <w:szCs w:val="24"/>
        </w:rPr>
        <w:t xml:space="preserve"> is the absorbance of ABTS</w:t>
      </w:r>
      <w:r w:rsidRPr="004C3AAA">
        <w:rPr>
          <w:sz w:val="24"/>
          <w:szCs w:val="24"/>
          <w:vertAlign w:val="superscript"/>
        </w:rPr>
        <w:t>*+</w:t>
      </w:r>
      <w:r w:rsidRPr="004C3AAA">
        <w:rPr>
          <w:sz w:val="24"/>
          <w:szCs w:val="24"/>
        </w:rPr>
        <w:t xml:space="preserve"> (= 0.700 ± 0.02) and </w:t>
      </w:r>
      <w:proofErr w:type="spellStart"/>
      <w:r w:rsidRPr="004C3AAA">
        <w:rPr>
          <w:sz w:val="24"/>
          <w:szCs w:val="24"/>
        </w:rPr>
        <w:t>Abs</w:t>
      </w:r>
      <w:r w:rsidRPr="004C3AAA">
        <w:rPr>
          <w:sz w:val="24"/>
          <w:szCs w:val="24"/>
          <w:vertAlign w:val="subscript"/>
        </w:rPr>
        <w:t>sample</w:t>
      </w:r>
      <w:proofErr w:type="spellEnd"/>
      <w:r w:rsidRPr="004C3AAA">
        <w:rPr>
          <w:sz w:val="24"/>
          <w:szCs w:val="24"/>
        </w:rPr>
        <w:t xml:space="preserve"> is the absorbance of sample + </w:t>
      </w:r>
      <w:r w:rsidR="00AF414F" w:rsidRPr="004C3AAA">
        <w:rPr>
          <w:sz w:val="24"/>
          <w:szCs w:val="24"/>
        </w:rPr>
        <w:t>ABTS</w:t>
      </w:r>
      <w:r w:rsidR="00AF414F" w:rsidRPr="004C3AAA">
        <w:rPr>
          <w:sz w:val="24"/>
          <w:szCs w:val="24"/>
          <w:vertAlign w:val="subscript"/>
        </w:rPr>
        <w:t>*</w:t>
      </w:r>
      <w:r w:rsidR="00AF414F" w:rsidRPr="004C3AAA">
        <w:rPr>
          <w:sz w:val="24"/>
          <w:szCs w:val="24"/>
          <w:vertAlign w:val="superscript"/>
        </w:rPr>
        <w:t>+</w:t>
      </w:r>
      <w:r w:rsidRPr="004C3AAA">
        <w:rPr>
          <w:sz w:val="24"/>
          <w:szCs w:val="24"/>
        </w:rPr>
        <w:t>.</w:t>
      </w:r>
    </w:p>
    <w:p w14:paraId="335489B7" w14:textId="77777777" w:rsidR="00795E95" w:rsidRPr="004C3AAA" w:rsidRDefault="006B3800" w:rsidP="00795E95">
      <w:pPr>
        <w:rPr>
          <w:sz w:val="24"/>
          <w:szCs w:val="24"/>
        </w:rPr>
      </w:pPr>
      <w:r w:rsidRPr="004C3AAA">
        <w:rPr>
          <w:sz w:val="24"/>
          <w:szCs w:val="24"/>
        </w:rPr>
        <w:t>The IC</w:t>
      </w:r>
      <w:r w:rsidRPr="004C3AAA">
        <w:rPr>
          <w:sz w:val="24"/>
          <w:szCs w:val="24"/>
          <w:vertAlign w:val="subscript"/>
        </w:rPr>
        <w:t>50</w:t>
      </w:r>
      <w:r w:rsidRPr="004C3AAA">
        <w:rPr>
          <w:sz w:val="24"/>
          <w:szCs w:val="24"/>
        </w:rPr>
        <w:t xml:space="preserve"> value was calculated from the linear regression of plots of concentration of the test sample against the mean percentage of the antioxidant activity obtained from three replicate assays. </w:t>
      </w:r>
    </w:p>
    <w:p w14:paraId="00000036" w14:textId="6768DBA8" w:rsidR="0060225D" w:rsidRPr="004C3AAA" w:rsidRDefault="006B3800" w:rsidP="00795E95">
      <w:pPr>
        <w:rPr>
          <w:sz w:val="24"/>
          <w:szCs w:val="24"/>
        </w:rPr>
      </w:pPr>
      <w:r w:rsidRPr="004C3AAA">
        <w:rPr>
          <w:sz w:val="24"/>
          <w:szCs w:val="24"/>
        </w:rPr>
        <w:t xml:space="preserve">Ferric reducing antioxidant power (FRAP) </w:t>
      </w:r>
    </w:p>
    <w:p w14:paraId="00000037" w14:textId="4FC41545" w:rsidR="0060225D" w:rsidRPr="004C3AAA" w:rsidRDefault="006B3800">
      <w:pPr>
        <w:rPr>
          <w:sz w:val="24"/>
          <w:szCs w:val="24"/>
        </w:rPr>
      </w:pPr>
      <w:r w:rsidRPr="004C3AAA">
        <w:rPr>
          <w:sz w:val="24"/>
          <w:szCs w:val="24"/>
        </w:rPr>
        <w:t xml:space="preserve">The ability to reduce ferric ions was measured using a modified version of the method described by </w:t>
      </w:r>
      <w:r w:rsidR="007F1B7F" w:rsidRPr="004C3AAA">
        <w:rPr>
          <w:sz w:val="24"/>
          <w:szCs w:val="24"/>
        </w:rPr>
        <w:fldChar w:fldCharType="begin"/>
      </w:r>
      <w:r w:rsidR="007F1B7F" w:rsidRPr="004C3AAA">
        <w:rPr>
          <w:sz w:val="24"/>
          <w:szCs w:val="24"/>
        </w:rPr>
        <w:instrText xml:space="preserve"> ADDIN EN.CITE &lt;EndNote&gt;&lt;Cite AuthorYear="1"&gt;&lt;Author&gt;Benzie&lt;/Author&gt;&lt;Year&gt;1996&lt;/Year&gt;&lt;RecNum&gt;81&lt;/RecNum&gt;&lt;DisplayText&gt;Benzie and Strain (1996)&lt;/DisplayText&gt;&lt;record&gt;&lt;rec-number&gt;81&lt;/rec-number&gt;&lt;foreign-keys&gt;&lt;key app="EN" db-id="pvwzf9vvxtxv0wevdp850w5lp2ratdzs9fed" timestamp="1638428262"&gt;81&lt;/key&gt;&lt;/foreign-keys&gt;&lt;ref-type name="Journal Article"&gt;17&lt;/ref-type&gt;&lt;contributors&gt;&lt;authors&gt;&lt;author&gt;Benzie, Iris F. F.&lt;/author&gt;&lt;author&gt;Strain, J. J.&lt;/author&gt;&lt;/authors&gt;&lt;/contributors&gt;&lt;titles&gt;&lt;title&gt;The Ferric Reducing Ability of Plasma (FRAP) as a Measure of “Antioxidant Power”: The FRAP Assay&lt;/title&gt;&lt;secondary-title&gt;Analytical Biochemistry&lt;/secondary-title&gt;&lt;/titles&gt;&lt;periodical&gt;&lt;full-title&gt;Analytical Biochemistry&lt;/full-title&gt;&lt;/periodical&gt;&lt;pages&gt;70-76&lt;/pages&gt;&lt;volume&gt;239&lt;/volume&gt;&lt;number&gt;1&lt;/number&gt;&lt;dates&gt;&lt;year&gt;1996&lt;/year&gt;&lt;pub-dates&gt;&lt;date&gt;1996/07/15/&lt;/date&gt;&lt;/pub-dates&gt;&lt;/dates&gt;&lt;isbn&gt;0003-2697&lt;/isbn&gt;&lt;urls&gt;&lt;related-urls&gt;&lt;url&gt;https://www.sciencedirect.com/science/article/pii/S0003269796902924&lt;/url&gt;&lt;/related-urls&gt;&lt;/urls&gt;&lt;electronic-resource-num&gt;https://doi.org/10.1006/abio.1996.0292&lt;/electronic-resource-num&gt;&lt;/record&gt;&lt;/Cite&gt;&lt;/EndNote&gt;</w:instrText>
      </w:r>
      <w:r w:rsidR="007F1B7F" w:rsidRPr="004C3AAA">
        <w:rPr>
          <w:sz w:val="24"/>
          <w:szCs w:val="24"/>
        </w:rPr>
        <w:fldChar w:fldCharType="separate"/>
      </w:r>
      <w:r w:rsidR="007F1B7F" w:rsidRPr="004C3AAA">
        <w:rPr>
          <w:noProof/>
          <w:sz w:val="24"/>
          <w:szCs w:val="24"/>
        </w:rPr>
        <w:t>Benzie and Strain (1996)</w:t>
      </w:r>
      <w:r w:rsidR="007F1B7F" w:rsidRPr="004C3AAA">
        <w:rPr>
          <w:sz w:val="24"/>
          <w:szCs w:val="24"/>
        </w:rPr>
        <w:fldChar w:fldCharType="end"/>
      </w:r>
      <w:r w:rsidRPr="004C3AAA">
        <w:rPr>
          <w:sz w:val="24"/>
          <w:szCs w:val="24"/>
        </w:rPr>
        <w:t>. Initially the FRAP working solution was prepared as a mixture of 300 mmol L</w:t>
      </w:r>
      <w:r w:rsidRPr="004C3AAA">
        <w:rPr>
          <w:sz w:val="24"/>
          <w:szCs w:val="24"/>
          <w:vertAlign w:val="superscript"/>
        </w:rPr>
        <w:t>−1</w:t>
      </w:r>
      <w:r w:rsidRPr="004C3AAA">
        <w:rPr>
          <w:sz w:val="24"/>
          <w:szCs w:val="24"/>
        </w:rPr>
        <w:t xml:space="preserve"> acetate buffer, pH 3.6, 10 mmolL</w:t>
      </w:r>
      <w:r w:rsidRPr="004C3AAA">
        <w:rPr>
          <w:sz w:val="24"/>
          <w:szCs w:val="24"/>
          <w:vertAlign w:val="superscript"/>
        </w:rPr>
        <w:t>−1</w:t>
      </w:r>
      <w:r w:rsidRPr="004C3AAA">
        <w:rPr>
          <w:sz w:val="24"/>
          <w:szCs w:val="24"/>
        </w:rPr>
        <w:t xml:space="preserve"> TPTZ in 40 mmol L</w:t>
      </w:r>
      <w:r w:rsidRPr="004C3AAA">
        <w:rPr>
          <w:sz w:val="24"/>
          <w:szCs w:val="24"/>
          <w:vertAlign w:val="superscript"/>
        </w:rPr>
        <w:t>−1</w:t>
      </w:r>
      <w:r w:rsidRPr="004C3AAA">
        <w:rPr>
          <w:sz w:val="24"/>
          <w:szCs w:val="24"/>
        </w:rPr>
        <w:t xml:space="preserve"> HCl, and 20 mmol L</w:t>
      </w:r>
      <w:r w:rsidRPr="004C3AAA">
        <w:rPr>
          <w:sz w:val="24"/>
          <w:szCs w:val="24"/>
          <w:vertAlign w:val="superscript"/>
        </w:rPr>
        <w:t>−1</w:t>
      </w:r>
      <w:r w:rsidRPr="004C3AAA">
        <w:rPr>
          <w:sz w:val="24"/>
          <w:szCs w:val="24"/>
        </w:rPr>
        <w:t xml:space="preserve"> FeCl</w:t>
      </w:r>
      <w:r w:rsidRPr="004C3AAA">
        <w:rPr>
          <w:sz w:val="24"/>
          <w:szCs w:val="24"/>
          <w:vertAlign w:val="subscript"/>
        </w:rPr>
        <w:t>3</w:t>
      </w:r>
      <w:r w:rsidRPr="004C3AAA">
        <w:rPr>
          <w:sz w:val="24"/>
          <w:szCs w:val="24"/>
        </w:rPr>
        <w:t xml:space="preserve"> in a ratio of 10:1:1, respectively. 150 </w:t>
      </w:r>
      <w:proofErr w:type="spellStart"/>
      <w:r w:rsidRPr="004C3AAA">
        <w:rPr>
          <w:sz w:val="24"/>
          <w:szCs w:val="24"/>
        </w:rPr>
        <w:t>μL</w:t>
      </w:r>
      <w:proofErr w:type="spellEnd"/>
      <w:r w:rsidRPr="004C3AAA">
        <w:rPr>
          <w:sz w:val="24"/>
          <w:szCs w:val="24"/>
        </w:rPr>
        <w:t xml:space="preserve"> of the working solution was added to 50 </w:t>
      </w:r>
      <w:proofErr w:type="spellStart"/>
      <w:r w:rsidRPr="004C3AAA">
        <w:rPr>
          <w:sz w:val="24"/>
          <w:szCs w:val="24"/>
        </w:rPr>
        <w:t>μL</w:t>
      </w:r>
      <w:proofErr w:type="spellEnd"/>
      <w:r w:rsidRPr="004C3AAA">
        <w:rPr>
          <w:sz w:val="24"/>
          <w:szCs w:val="24"/>
        </w:rPr>
        <w:t xml:space="preserve"> </w:t>
      </w:r>
      <w:r w:rsidRPr="004C3AAA">
        <w:rPr>
          <w:sz w:val="24"/>
          <w:szCs w:val="24"/>
        </w:rPr>
        <w:lastRenderedPageBreak/>
        <w:t>test samples. The reaction mixtures were incubated at room temperature and the absorbance read at 600 nm after 8 min. Results are expressed as nmol of Fe</w:t>
      </w:r>
      <w:r w:rsidRPr="004C3AAA">
        <w:rPr>
          <w:sz w:val="24"/>
          <w:szCs w:val="24"/>
          <w:vertAlign w:val="superscript"/>
        </w:rPr>
        <w:t>2+</w:t>
      </w:r>
      <w:r w:rsidR="00AF414F" w:rsidRPr="004C3AAA">
        <w:rPr>
          <w:sz w:val="24"/>
          <w:szCs w:val="24"/>
        </w:rPr>
        <w:t xml:space="preserve"> </w:t>
      </w:r>
      <w:r w:rsidRPr="004C3AAA">
        <w:rPr>
          <w:sz w:val="24"/>
          <w:szCs w:val="24"/>
        </w:rPr>
        <w:t>equivalent μg</w:t>
      </w:r>
      <w:r w:rsidRPr="004C3AAA">
        <w:rPr>
          <w:sz w:val="24"/>
          <w:szCs w:val="24"/>
          <w:vertAlign w:val="superscript"/>
        </w:rPr>
        <w:t>−1</w:t>
      </w:r>
      <w:r w:rsidRPr="004C3AAA">
        <w:rPr>
          <w:sz w:val="24"/>
          <w:szCs w:val="24"/>
        </w:rPr>
        <w:t xml:space="preserve"> dry extract.</w:t>
      </w:r>
    </w:p>
    <w:p w14:paraId="00000038" w14:textId="3CBF99C4" w:rsidR="0060225D" w:rsidRPr="004C3AAA" w:rsidRDefault="006B3800">
      <w:pPr>
        <w:rPr>
          <w:sz w:val="24"/>
          <w:szCs w:val="24"/>
        </w:rPr>
      </w:pPr>
      <w:proofErr w:type="spellStart"/>
      <w:r w:rsidRPr="004C3AAA">
        <w:rPr>
          <w:sz w:val="24"/>
          <w:szCs w:val="24"/>
        </w:rPr>
        <w:t>Antiplasmodial</w:t>
      </w:r>
      <w:proofErr w:type="spellEnd"/>
      <w:r w:rsidRPr="004C3AAA">
        <w:rPr>
          <w:sz w:val="24"/>
          <w:szCs w:val="24"/>
        </w:rPr>
        <w:t xml:space="preserve"> activity</w:t>
      </w:r>
    </w:p>
    <w:p w14:paraId="00000039" w14:textId="24E69397" w:rsidR="0060225D" w:rsidRPr="004C3AAA" w:rsidRDefault="006B3800">
      <w:pPr>
        <w:rPr>
          <w:sz w:val="24"/>
          <w:szCs w:val="24"/>
        </w:rPr>
      </w:pPr>
      <w:proofErr w:type="spellStart"/>
      <w:r w:rsidRPr="004C3AAA">
        <w:rPr>
          <w:sz w:val="24"/>
          <w:szCs w:val="24"/>
        </w:rPr>
        <w:t>Antiplasmodial</w:t>
      </w:r>
      <w:proofErr w:type="spellEnd"/>
      <w:r w:rsidRPr="004C3AAA">
        <w:rPr>
          <w:sz w:val="24"/>
          <w:szCs w:val="24"/>
        </w:rPr>
        <w:t xml:space="preserve"> activity was determined by the </w:t>
      </w:r>
      <w:r w:rsidRPr="004C3AAA">
        <w:rPr>
          <w:i/>
          <w:sz w:val="24"/>
          <w:szCs w:val="24"/>
        </w:rPr>
        <w:t>in vitro</w:t>
      </w:r>
      <w:r w:rsidRPr="004C3AAA">
        <w:rPr>
          <w:sz w:val="24"/>
          <w:szCs w:val="24"/>
        </w:rPr>
        <w:t xml:space="preserve"> microplate assay against the NF54 strain of </w:t>
      </w:r>
      <w:r w:rsidRPr="004C3AAA">
        <w:rPr>
          <w:i/>
          <w:sz w:val="24"/>
          <w:szCs w:val="24"/>
        </w:rPr>
        <w:t>Plasmodium falciparum</w:t>
      </w:r>
      <w:r w:rsidRPr="004C3AAA">
        <w:rPr>
          <w:sz w:val="24"/>
          <w:szCs w:val="24"/>
        </w:rPr>
        <w:t xml:space="preserve"> (sensitive to all known drugs). A modification of the [3H] hypoxanthine incorporation assay was used </w:t>
      </w:r>
      <w:r w:rsidR="00EA68D3" w:rsidRPr="004C3AAA">
        <w:rPr>
          <w:sz w:val="24"/>
          <w:szCs w:val="24"/>
        </w:rPr>
        <w:fldChar w:fldCharType="begin">
          <w:fldData xml:space="preserve">PEVuZE5vdGU+PENpdGU+PEF1dGhvcj5XaXRzY2hlbDwvQXV0aG9yPjxZZWFyPjIwMTI8L1llYXI+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</w:fldData>
        </w:fldChar>
      </w:r>
      <w:r w:rsidR="00EA68D3" w:rsidRPr="004C3AAA">
        <w:rPr>
          <w:sz w:val="24"/>
          <w:szCs w:val="24"/>
        </w:rPr>
        <w:instrText xml:space="preserve"> ADDIN EN.CITE </w:instrText>
      </w:r>
      <w:r w:rsidR="00EA68D3" w:rsidRPr="004C3AAA">
        <w:rPr>
          <w:sz w:val="24"/>
          <w:szCs w:val="24"/>
        </w:rPr>
        <w:fldChar w:fldCharType="begin">
          <w:fldData xml:space="preserve">PEVuZE5vdGU+PENpdGU+PEF1dGhvcj5XaXRzY2hlbDwvQXV0aG9yPjxZZWFyPjIwMTI8L1llYXI+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</w:fldData>
        </w:fldChar>
      </w:r>
      <w:r w:rsidR="00EA68D3" w:rsidRPr="004C3AAA">
        <w:rPr>
          <w:sz w:val="24"/>
          <w:szCs w:val="24"/>
        </w:rPr>
        <w:instrText xml:space="preserve"> ADDIN EN.CITE.DATA </w:instrText>
      </w:r>
      <w:r w:rsidR="00EA68D3" w:rsidRPr="004C3AAA">
        <w:rPr>
          <w:sz w:val="24"/>
          <w:szCs w:val="24"/>
        </w:rPr>
      </w:r>
      <w:r w:rsidR="00EA68D3" w:rsidRPr="004C3AAA">
        <w:rPr>
          <w:sz w:val="24"/>
          <w:szCs w:val="24"/>
        </w:rPr>
        <w:fldChar w:fldCharType="end"/>
      </w:r>
      <w:r w:rsidR="00EA68D3" w:rsidRPr="004C3AAA">
        <w:rPr>
          <w:sz w:val="24"/>
          <w:szCs w:val="24"/>
        </w:rPr>
      </w:r>
      <w:r w:rsidR="00EA68D3" w:rsidRPr="004C3AAA">
        <w:rPr>
          <w:sz w:val="24"/>
          <w:szCs w:val="24"/>
        </w:rPr>
        <w:fldChar w:fldCharType="separate"/>
      </w:r>
      <w:r w:rsidR="00EA68D3" w:rsidRPr="004C3AAA">
        <w:rPr>
          <w:noProof/>
          <w:sz w:val="24"/>
          <w:szCs w:val="24"/>
        </w:rPr>
        <w:t>(Witschel et al., 2012)</w:t>
      </w:r>
      <w:r w:rsidR="00EA68D3" w:rsidRPr="004C3AAA">
        <w:rPr>
          <w:sz w:val="24"/>
          <w:szCs w:val="24"/>
        </w:rPr>
        <w:fldChar w:fldCharType="end"/>
      </w:r>
      <w:r w:rsidRPr="004C3AAA">
        <w:rPr>
          <w:sz w:val="24"/>
          <w:szCs w:val="24"/>
        </w:rPr>
        <w:t xml:space="preserve">. Briefly, infected human red blood cells in RPMI 1640 medium with 5% </w:t>
      </w:r>
      <w:proofErr w:type="spellStart"/>
      <w:r w:rsidRPr="004C3AAA">
        <w:rPr>
          <w:sz w:val="24"/>
          <w:szCs w:val="24"/>
        </w:rPr>
        <w:t>Albumax</w:t>
      </w:r>
      <w:proofErr w:type="spellEnd"/>
      <w:r w:rsidRPr="004C3AAA">
        <w:rPr>
          <w:sz w:val="24"/>
          <w:szCs w:val="24"/>
        </w:rPr>
        <w:t xml:space="preserve"> were exposed to a series of extract dilutions in microtiter plates for 48 h at 37°C in a gas mixture with reduced oxygen and elevated CO</w:t>
      </w:r>
      <w:r w:rsidRPr="004C3AAA">
        <w:rPr>
          <w:sz w:val="24"/>
          <w:szCs w:val="24"/>
          <w:vertAlign w:val="subscript"/>
        </w:rPr>
        <w:t>2</w:t>
      </w:r>
      <w:r w:rsidRPr="004C3AAA">
        <w:rPr>
          <w:sz w:val="24"/>
          <w:szCs w:val="24"/>
        </w:rPr>
        <w:t>. [3H] Hypoxanthine was added to each well. After further incubation for 24h, the wells were harvested on glass fiber filters and washed with distilled water. The radioactivity was counted using a Beta-plate TM liquid scintillation counter (Wallac, Zurich, Switzerland). The results were recorded as counts per minute (CPM) per well at each extract concentration and expressed as percentage of the untreated controls. IC</w:t>
      </w:r>
      <w:r w:rsidRPr="004C3AAA">
        <w:rPr>
          <w:sz w:val="24"/>
          <w:szCs w:val="24"/>
          <w:vertAlign w:val="subscript"/>
        </w:rPr>
        <w:t>50</w:t>
      </w:r>
      <w:r w:rsidRPr="004C3AAA">
        <w:rPr>
          <w:sz w:val="24"/>
          <w:szCs w:val="24"/>
        </w:rPr>
        <w:t xml:space="preserve"> values were calculated from the sigmoidal inhibition curves. Assays were run in duplicate and repeated once. Chloroquine and artesunate were used as standard.</w:t>
      </w:r>
    </w:p>
    <w:p w14:paraId="0000003A" w14:textId="1D7AD6F6" w:rsidR="0060225D" w:rsidRPr="004C3AAA" w:rsidRDefault="006B3800">
      <w:pPr>
        <w:rPr>
          <w:sz w:val="24"/>
          <w:szCs w:val="24"/>
        </w:rPr>
      </w:pPr>
      <w:r w:rsidRPr="004C3AAA">
        <w:rPr>
          <w:sz w:val="24"/>
          <w:szCs w:val="24"/>
        </w:rPr>
        <w:t>Cytotoxicity</w:t>
      </w:r>
    </w:p>
    <w:p w14:paraId="0000003B" w14:textId="0C955E48" w:rsidR="0060225D" w:rsidRPr="004C3AAA" w:rsidRDefault="006B3800">
      <w:pPr>
        <w:rPr>
          <w:sz w:val="24"/>
          <w:szCs w:val="24"/>
        </w:rPr>
      </w:pPr>
      <w:r w:rsidRPr="004C3AAA">
        <w:rPr>
          <w:sz w:val="24"/>
          <w:szCs w:val="24"/>
        </w:rPr>
        <w:t>Cell Line and culture conditions</w:t>
      </w:r>
    </w:p>
    <w:p w14:paraId="0000003C" w14:textId="77777777" w:rsidR="0060225D" w:rsidRPr="004C3AAA" w:rsidRDefault="006B3800">
      <w:pPr>
        <w:rPr>
          <w:sz w:val="24"/>
          <w:szCs w:val="24"/>
        </w:rPr>
      </w:pPr>
      <w:r w:rsidRPr="004C3AAA">
        <w:rPr>
          <w:sz w:val="24"/>
          <w:szCs w:val="24"/>
        </w:rPr>
        <w:t xml:space="preserve">Cytotoxicity was tested against Human colorectal carcinoma cell line HCT- 116 (Passage No. 5), catalogue number (CCL-), Human hormone sensitive and invasive breast cancer cell line MCF-7 (Passage No. 4), catalogue number (HTB-22), MDA-MB-231-Human hormone resistant breast cancer cell line (Passage No.21), catalogue number (ATCC ® HTB-26TM) and the normal </w:t>
      </w:r>
      <w:proofErr w:type="gramStart"/>
      <w:r w:rsidRPr="004C3AAA">
        <w:rPr>
          <w:sz w:val="24"/>
          <w:szCs w:val="24"/>
        </w:rPr>
        <w:t>EA.hy</w:t>
      </w:r>
      <w:proofErr w:type="gramEnd"/>
      <w:r w:rsidRPr="004C3AAA">
        <w:rPr>
          <w:sz w:val="24"/>
          <w:szCs w:val="24"/>
        </w:rPr>
        <w:t xml:space="preserve">926 cells (Passage No 9), catalogue number (EA.hy926 ATCC ® CRL-2922TM). </w:t>
      </w:r>
    </w:p>
    <w:p w14:paraId="0000003D" w14:textId="77777777" w:rsidR="0060225D" w:rsidRPr="004C3AAA" w:rsidRDefault="006B3800">
      <w:pPr>
        <w:rPr>
          <w:sz w:val="24"/>
          <w:szCs w:val="24"/>
        </w:rPr>
      </w:pPr>
      <w:r w:rsidRPr="004C3AAA">
        <w:rPr>
          <w:sz w:val="24"/>
          <w:szCs w:val="24"/>
        </w:rPr>
        <w:t>HCT-116 cells were maintained in RPMI whereas MCF-7, MDA-MB-231, and EAHY 926 cells were maintained in Dulbecco’s Modified Eagle Medium (DMEM). The media were supplemented with 10% heat inactivated fetal bovine serum (HIFBS) and 1% penicillin/</w:t>
      </w:r>
      <w:proofErr w:type="gramStart"/>
      <w:r w:rsidRPr="004C3AAA">
        <w:rPr>
          <w:sz w:val="24"/>
          <w:szCs w:val="24"/>
        </w:rPr>
        <w:t>streptomycin(</w:t>
      </w:r>
      <w:proofErr w:type="gramEnd"/>
      <w:r w:rsidRPr="004C3AAA">
        <w:rPr>
          <w:sz w:val="24"/>
          <w:szCs w:val="24"/>
        </w:rPr>
        <w:t>PS). Cells were cultured in T25 culture flasks and incubated at 37°C supplied by 5% CO</w:t>
      </w:r>
      <w:r w:rsidRPr="004C3AAA">
        <w:rPr>
          <w:sz w:val="24"/>
          <w:szCs w:val="24"/>
          <w:vertAlign w:val="subscript"/>
        </w:rPr>
        <w:t>2</w:t>
      </w:r>
      <w:r w:rsidRPr="004C3AAA">
        <w:rPr>
          <w:sz w:val="24"/>
          <w:szCs w:val="24"/>
        </w:rPr>
        <w:t xml:space="preserve"> in a humidified incubator (Binder, Germany). Cell culture work was done in sterile conditions using Class II biosafety cabinet (ESCO, USA).</w:t>
      </w:r>
    </w:p>
    <w:p w14:paraId="0000003E" w14:textId="594EAB80" w:rsidR="0060225D" w:rsidRPr="004C3AAA" w:rsidRDefault="006B3800">
      <w:pPr>
        <w:rPr>
          <w:sz w:val="24"/>
          <w:szCs w:val="24"/>
        </w:rPr>
      </w:pPr>
      <w:r w:rsidRPr="004C3AAA">
        <w:rPr>
          <w:sz w:val="24"/>
          <w:szCs w:val="24"/>
        </w:rPr>
        <w:t>Cytotoxicity assay</w:t>
      </w:r>
    </w:p>
    <w:p w14:paraId="0000003F" w14:textId="09802171" w:rsidR="0060225D" w:rsidRPr="004C3AAA" w:rsidRDefault="006B3800" w:rsidP="003E453E">
      <w:pPr>
        <w:spacing w:before="120" w:after="120"/>
        <w:rPr>
          <w:sz w:val="24"/>
          <w:szCs w:val="24"/>
        </w:rPr>
      </w:pPr>
      <w:r w:rsidRPr="004C3AAA">
        <w:rPr>
          <w:sz w:val="24"/>
          <w:szCs w:val="24"/>
        </w:rPr>
        <w:lastRenderedPageBreak/>
        <w:t xml:space="preserve">Cytotoxicity of the extracts </w:t>
      </w:r>
      <w:r w:rsidR="00AF414F" w:rsidRPr="004C3AAA">
        <w:rPr>
          <w:rFonts w:asciiTheme="majorBidi" w:eastAsiaTheme="minorHAnsi" w:hAnsiTheme="majorBidi" w:cstheme="majorBidi"/>
          <w:sz w:val="24"/>
          <w:szCs w:val="24"/>
        </w:rPr>
        <w:t xml:space="preserve">was performed as described by </w:t>
      </w:r>
      <w:r w:rsidR="007F1B7F" w:rsidRPr="004C3AAA">
        <w:rPr>
          <w:rFonts w:asciiTheme="majorBidi" w:eastAsiaTheme="minorHAnsi" w:hAnsiTheme="majorBidi" w:cstheme="majorBidi"/>
          <w:sz w:val="24"/>
          <w:szCs w:val="24"/>
        </w:rPr>
        <w:fldChar w:fldCharType="begin"/>
      </w:r>
      <w:r w:rsidR="007F1B7F" w:rsidRPr="004C3AAA">
        <w:rPr>
          <w:rFonts w:asciiTheme="majorBidi" w:eastAsiaTheme="minorHAnsi" w:hAnsiTheme="majorBidi" w:cstheme="majorBidi"/>
          <w:sz w:val="24"/>
          <w:szCs w:val="24"/>
        </w:rPr>
        <w:instrText xml:space="preserve"> ADDIN EN.CITE &lt;EndNote&gt;&lt;Cite AuthorYear="1"&gt;&lt;Author&gt;Mosmann&lt;/Author&gt;&lt;Year&gt;1983&lt;/Year&gt;&lt;RecNum&gt;82&lt;/RecNum&gt;&lt;DisplayText&gt;Mosmann (1983)&lt;/DisplayText&gt;&lt;record&gt;&lt;rec-number&gt;82&lt;/rec-number&gt;&lt;foreign-keys&gt;&lt;key app="EN" db-id="pvwzf9vvxtxv0wevdp850w5lp2ratdzs9fed" timestamp="1638428416"&gt;82&lt;/key&gt;&lt;/foreign-keys&gt;&lt;ref-type name="Journal Article"&gt;17&lt;/ref-type&gt;&lt;contributors&gt;&lt;authors&gt;&lt;author&gt;Mosmann, Tim&lt;/author&gt;&lt;/authors&gt;&lt;/contributors&gt;&lt;titles&gt;&lt;title&gt;Rapid colorimetric assay for cellular growth and survival: Application to proliferation and cytotoxicity assays&lt;/title&gt;&lt;secondary-title&gt;Journal of Immunological Methods&lt;/secondary-title&gt;&lt;/titles&gt;&lt;periodical&gt;&lt;full-title&gt;Journal of Immunological Methods&lt;/full-title&gt;&lt;/periodical&gt;&lt;pages&gt;55-63&lt;/pages&gt;&lt;volume&gt;65&lt;/volume&gt;&lt;number&gt;1&lt;/number&gt;&lt;keywords&gt;&lt;keyword&gt;lymphokine assays&lt;/keyword&gt;&lt;keyword&gt;proliferation assay&lt;/keyword&gt;&lt;keyword&gt;colorimetric assay&lt;/keyword&gt;&lt;keyword&gt;tetrazolium&lt;/keyword&gt;&lt;keyword&gt;TCGF&lt;/keyword&gt;&lt;/keywords&gt;&lt;dates&gt;&lt;year&gt;1983&lt;/year&gt;&lt;pub-dates&gt;&lt;date&gt;1983/12/16/&lt;/date&gt;&lt;/pub-dates&gt;&lt;/dates&gt;&lt;isbn&gt;0022-1759&lt;/isbn&gt;&lt;urls&gt;&lt;related-urls&gt;&lt;url&gt;https://www.sciencedirect.com/science/article/pii/0022175983903034&lt;/url&gt;&lt;/related-urls&gt;&lt;/urls&gt;&lt;electronic-resource-num&gt;https://doi.org/10.1016/0022-1759(83)90303-4&lt;/electronic-resource-num&gt;&lt;/record&gt;&lt;/Cite&gt;&lt;/EndNote&gt;</w:instrText>
      </w:r>
      <w:r w:rsidR="007F1B7F" w:rsidRPr="004C3AAA">
        <w:rPr>
          <w:rFonts w:asciiTheme="majorBidi" w:eastAsiaTheme="minorHAnsi" w:hAnsiTheme="majorBidi" w:cstheme="majorBidi"/>
          <w:sz w:val="24"/>
          <w:szCs w:val="24"/>
        </w:rPr>
        <w:fldChar w:fldCharType="separate"/>
      </w:r>
      <w:r w:rsidR="007F1B7F" w:rsidRPr="004C3AAA">
        <w:rPr>
          <w:rFonts w:asciiTheme="majorBidi" w:eastAsiaTheme="minorHAnsi" w:hAnsiTheme="majorBidi" w:cstheme="majorBidi"/>
          <w:noProof/>
          <w:sz w:val="24"/>
          <w:szCs w:val="24"/>
        </w:rPr>
        <w:t>Mosmann (1983)</w:t>
      </w:r>
      <w:r w:rsidR="007F1B7F" w:rsidRPr="004C3AAA">
        <w:rPr>
          <w:rFonts w:asciiTheme="majorBidi" w:eastAsiaTheme="minorHAnsi" w:hAnsiTheme="majorBidi" w:cstheme="majorBidi"/>
          <w:sz w:val="24"/>
          <w:szCs w:val="24"/>
        </w:rPr>
        <w:fldChar w:fldCharType="end"/>
      </w:r>
      <w:r w:rsidR="007F1B7F" w:rsidRPr="004C3AAA">
        <w:rPr>
          <w:rFonts w:asciiTheme="majorBidi" w:eastAsiaTheme="minorHAnsi" w:hAnsiTheme="majorBidi" w:cstheme="majorBidi"/>
          <w:sz w:val="24"/>
          <w:szCs w:val="24"/>
        </w:rPr>
        <w:t xml:space="preserve"> </w:t>
      </w:r>
      <w:r w:rsidR="00AF414F" w:rsidRPr="004C3AAA">
        <w:rPr>
          <w:rFonts w:asciiTheme="majorBidi" w:eastAsiaTheme="minorHAnsi" w:hAnsiTheme="majorBidi" w:cstheme="majorBidi"/>
          <w:sz w:val="24"/>
          <w:szCs w:val="24"/>
        </w:rPr>
        <w:t>using the thiazolyl blue tetr</w:t>
      </w:r>
      <w:r w:rsidR="00E0042C" w:rsidRPr="004C3AAA">
        <w:rPr>
          <w:rFonts w:asciiTheme="majorBidi" w:eastAsiaTheme="minorHAnsi" w:hAnsiTheme="majorBidi" w:cstheme="majorBidi"/>
          <w:sz w:val="24"/>
          <w:szCs w:val="24"/>
        </w:rPr>
        <w:t>azolium bromide (MTT) procedure</w:t>
      </w:r>
      <w:r w:rsidRPr="004C3AAA">
        <w:rPr>
          <w:sz w:val="24"/>
          <w:szCs w:val="24"/>
        </w:rPr>
        <w:t>. Cells were seeded at 1.5 × 10</w:t>
      </w:r>
      <w:r w:rsidRPr="004C3AAA">
        <w:rPr>
          <w:sz w:val="24"/>
          <w:szCs w:val="24"/>
          <w:vertAlign w:val="superscript"/>
        </w:rPr>
        <w:t>4</w:t>
      </w:r>
      <w:r w:rsidRPr="004C3AAA">
        <w:rPr>
          <w:sz w:val="24"/>
          <w:szCs w:val="24"/>
        </w:rPr>
        <w:t xml:space="preserve"> cells in each well of 96-well plate in 100 </w:t>
      </w:r>
      <w:proofErr w:type="spellStart"/>
      <w:r w:rsidRPr="004C3AAA">
        <w:rPr>
          <w:sz w:val="24"/>
          <w:szCs w:val="24"/>
        </w:rPr>
        <w:t>μL</w:t>
      </w:r>
      <w:proofErr w:type="spellEnd"/>
      <w:r w:rsidRPr="004C3AAA">
        <w:rPr>
          <w:sz w:val="24"/>
          <w:szCs w:val="24"/>
        </w:rPr>
        <w:t xml:space="preserve"> of fresh culture medium and were allowed to attach overnight. For screening, the cells (70 - 80% confluency) were treated with the extracts at the final concentrations of 50 and 100 </w:t>
      </w:r>
      <w:proofErr w:type="spellStart"/>
      <w:r w:rsidRPr="004C3AAA">
        <w:rPr>
          <w:sz w:val="24"/>
          <w:szCs w:val="24"/>
        </w:rPr>
        <w:t>μg</w:t>
      </w:r>
      <w:proofErr w:type="spellEnd"/>
      <w:r w:rsidRPr="004C3AAA">
        <w:rPr>
          <w:sz w:val="24"/>
          <w:szCs w:val="24"/>
        </w:rPr>
        <w:t>/</w:t>
      </w:r>
      <w:proofErr w:type="spellStart"/>
      <w:r w:rsidRPr="004C3AAA">
        <w:rPr>
          <w:sz w:val="24"/>
          <w:szCs w:val="24"/>
        </w:rPr>
        <w:t>mL.</w:t>
      </w:r>
      <w:proofErr w:type="spellEnd"/>
      <w:r w:rsidRPr="004C3AAA">
        <w:rPr>
          <w:sz w:val="24"/>
          <w:szCs w:val="24"/>
        </w:rPr>
        <w:t xml:space="preserve"> After 48 h of the treatment the medium was </w:t>
      </w:r>
      <w:proofErr w:type="gramStart"/>
      <w:r w:rsidRPr="004C3AAA">
        <w:rPr>
          <w:sz w:val="24"/>
          <w:szCs w:val="24"/>
        </w:rPr>
        <w:t>aspirated</w:t>
      </w:r>
      <w:proofErr w:type="gramEnd"/>
      <w:r w:rsidRPr="004C3AAA">
        <w:rPr>
          <w:sz w:val="24"/>
          <w:szCs w:val="24"/>
        </w:rPr>
        <w:t xml:space="preserve"> and the cells were exposed to MTT solution prepared at 5 mg/mL in sterile PBS</w:t>
      </w:r>
      <w:r w:rsidR="002D1D97" w:rsidRPr="004C3AAA">
        <w:rPr>
          <w:sz w:val="24"/>
          <w:szCs w:val="24"/>
        </w:rPr>
        <w:t xml:space="preserve"> which</w:t>
      </w:r>
      <w:r w:rsidRPr="004C3AAA">
        <w:rPr>
          <w:sz w:val="24"/>
          <w:szCs w:val="24"/>
        </w:rPr>
        <w:t xml:space="preserve"> was added to each well at 10% v/v in the respective medium and was incubated at 37°C in 5% CO</w:t>
      </w:r>
      <w:r w:rsidRPr="004C3AAA">
        <w:rPr>
          <w:sz w:val="24"/>
          <w:szCs w:val="24"/>
          <w:vertAlign w:val="subscript"/>
        </w:rPr>
        <w:t xml:space="preserve">2 </w:t>
      </w:r>
      <w:r w:rsidRPr="004C3AAA">
        <w:rPr>
          <w:sz w:val="24"/>
          <w:szCs w:val="24"/>
        </w:rPr>
        <w:t xml:space="preserve">for 3 h. The water insoluble formazan salt was solubilized with 200 </w:t>
      </w:r>
      <w:proofErr w:type="spellStart"/>
      <w:r w:rsidRPr="004C3AAA">
        <w:rPr>
          <w:sz w:val="24"/>
          <w:szCs w:val="24"/>
        </w:rPr>
        <w:t>μL</w:t>
      </w:r>
      <w:proofErr w:type="spellEnd"/>
      <w:r w:rsidRPr="004C3AAA">
        <w:rPr>
          <w:sz w:val="24"/>
          <w:szCs w:val="24"/>
        </w:rPr>
        <w:t xml:space="preserve"> DSMO/well. Absorbance was measured by infinite® Pro200 (TECAN Group Ltd., Switzerland) at primary wavelength of 570 nm and reference wavelength of 620 nm. Each plate contained the samples, negative control and blank. DMSO (1% v/v) was used as a negative control. Tamoxifen was used as standard reference. The assay was performed in </w:t>
      </w:r>
      <w:proofErr w:type="spellStart"/>
      <w:r w:rsidRPr="004C3AAA">
        <w:rPr>
          <w:sz w:val="24"/>
          <w:szCs w:val="24"/>
        </w:rPr>
        <w:t>quadricate</w:t>
      </w:r>
      <w:proofErr w:type="spellEnd"/>
      <w:r w:rsidRPr="004C3AAA">
        <w:rPr>
          <w:sz w:val="24"/>
          <w:szCs w:val="24"/>
        </w:rPr>
        <w:t xml:space="preserve"> and the percentage of inhibition in cell viability was calculated using the following formula:</w:t>
      </w:r>
    </w:p>
    <w:p w14:paraId="23D6DAD0" w14:textId="77777777" w:rsidR="0084580A" w:rsidRDefault="006B3800" w:rsidP="00E0042C">
      <w:pPr>
        <w:rPr>
          <w:sz w:val="24"/>
          <w:szCs w:val="24"/>
        </w:rPr>
      </w:pPr>
      <w:r w:rsidRPr="004C3AAA">
        <w:rPr>
          <w:sz w:val="24"/>
          <w:szCs w:val="24"/>
        </w:rPr>
        <w:t xml:space="preserve">% </w:t>
      </w:r>
      <w:proofErr w:type="gramStart"/>
      <w:r w:rsidRPr="004C3AAA">
        <w:rPr>
          <w:sz w:val="24"/>
          <w:szCs w:val="24"/>
        </w:rPr>
        <w:t>of</w:t>
      </w:r>
      <w:proofErr w:type="gramEnd"/>
      <w:r w:rsidRPr="004C3AAA">
        <w:rPr>
          <w:sz w:val="24"/>
          <w:szCs w:val="24"/>
        </w:rPr>
        <w:t xml:space="preserve"> inhibition in cell viability = </w:t>
      </w:r>
      <w:r w:rsidR="00E0042C" w:rsidRPr="004C3AAA">
        <w:rPr>
          <w:sz w:val="24"/>
          <w:szCs w:val="24"/>
        </w:rPr>
        <w:t>[</w:t>
      </w:r>
      <w:r w:rsidRPr="004C3AAA">
        <w:rPr>
          <w:sz w:val="24"/>
          <w:szCs w:val="24"/>
        </w:rPr>
        <w:t>1- (absorbance of treated/absorbance of untreated)</w:t>
      </w:r>
      <w:r w:rsidR="00E0042C" w:rsidRPr="004C3AAA">
        <w:rPr>
          <w:sz w:val="24"/>
          <w:szCs w:val="24"/>
        </w:rPr>
        <w:t>]</w:t>
      </w:r>
      <w:r w:rsidRPr="004C3AAA">
        <w:rPr>
          <w:sz w:val="24"/>
          <w:szCs w:val="24"/>
        </w:rPr>
        <w:t xml:space="preserve"> × 100</w:t>
      </w:r>
    </w:p>
    <w:p w14:paraId="00000040" w14:textId="02EC03B2" w:rsidR="0060225D" w:rsidRPr="004C3AAA" w:rsidRDefault="0060225D" w:rsidP="00E0042C">
      <w:pPr>
        <w:rPr>
          <w:sz w:val="24"/>
          <w:szCs w:val="24"/>
        </w:rPr>
      </w:pPr>
    </w:p>
    <w:sectPr w:rsidR="0060225D" w:rsidRPr="004C3AAA" w:rsidSect="0084580A">
      <w:footerReference w:type="even" r:id="rId9"/>
      <w:footerReference w:type="default" r:id="rId10"/>
      <w:type w:val="continuous"/>
      <w:pgSz w:w="11900" w:h="16840"/>
      <w:pgMar w:top="1418" w:right="1418" w:bottom="1418" w:left="1418" w:header="709" w:footer="709"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91792" w14:textId="77777777" w:rsidR="002E1D62" w:rsidRDefault="002E1D62">
      <w:pPr>
        <w:spacing w:before="0" w:after="0" w:line="240" w:lineRule="auto"/>
      </w:pPr>
      <w:r>
        <w:separator/>
      </w:r>
    </w:p>
  </w:endnote>
  <w:endnote w:type="continuationSeparator" w:id="0">
    <w:p w14:paraId="19FAB555" w14:textId="77777777" w:rsidR="002E1D62" w:rsidRDefault="002E1D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Linotype">
    <w:altName w:val="Palatino Linotype"/>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9" w14:textId="77777777" w:rsidR="00F32430" w:rsidRDefault="00F32430">
    <w:pPr>
      <w:pBdr>
        <w:top w:val="nil"/>
        <w:left w:val="nil"/>
        <w:bottom w:val="nil"/>
        <w:right w:val="nil"/>
        <w:between w:val="nil"/>
      </w:pBdr>
      <w:tabs>
        <w:tab w:val="center" w:pos="4536"/>
        <w:tab w:val="right" w:pos="9072"/>
      </w:tabs>
      <w:spacing w:before="0" w:after="0" w:line="240" w:lineRule="auto"/>
      <w:jc w:val="center"/>
      <w:rPr>
        <w:color w:val="000000"/>
      </w:rPr>
    </w:pPr>
    <w:r>
      <w:rPr>
        <w:color w:val="000000"/>
      </w:rPr>
      <w:fldChar w:fldCharType="begin"/>
    </w:r>
    <w:r>
      <w:rPr>
        <w:color w:val="000000"/>
      </w:rPr>
      <w:instrText>PAGE</w:instrText>
    </w:r>
    <w:r>
      <w:rPr>
        <w:color w:val="000000"/>
      </w:rPr>
      <w:fldChar w:fldCharType="end"/>
    </w:r>
  </w:p>
  <w:p w14:paraId="0000008A" w14:textId="77777777" w:rsidR="00F32430" w:rsidRDefault="00F32430">
    <w:pPr>
      <w:pBdr>
        <w:top w:val="nil"/>
        <w:left w:val="nil"/>
        <w:bottom w:val="nil"/>
        <w:right w:val="nil"/>
        <w:between w:val="nil"/>
      </w:pBdr>
      <w:tabs>
        <w:tab w:val="center" w:pos="4536"/>
        <w:tab w:val="right" w:pos="9072"/>
      </w:tabs>
      <w:spacing w:before="0"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844148"/>
      <w:docPartObj>
        <w:docPartGallery w:val="Page Numbers (Bottom of Page)"/>
        <w:docPartUnique/>
      </w:docPartObj>
    </w:sdtPr>
    <w:sdtEndPr/>
    <w:sdtContent>
      <w:p w14:paraId="1ACAF048" w14:textId="386A907A" w:rsidR="00F32430" w:rsidRDefault="00F32430">
        <w:pPr>
          <w:pStyle w:val="Footer"/>
          <w:jc w:val="center"/>
        </w:pPr>
        <w:r>
          <w:fldChar w:fldCharType="begin"/>
        </w:r>
        <w:r>
          <w:instrText xml:space="preserve"> PAGE   \* MERGEFORMAT </w:instrText>
        </w:r>
        <w:r>
          <w:fldChar w:fldCharType="separate"/>
        </w:r>
        <w:r w:rsidR="000A0933">
          <w:rPr>
            <w:noProof/>
          </w:rPr>
          <w:t>1</w:t>
        </w:r>
        <w:r>
          <w:rPr>
            <w:noProof/>
          </w:rPr>
          <w:fldChar w:fldCharType="end"/>
        </w:r>
      </w:p>
    </w:sdtContent>
  </w:sdt>
  <w:p w14:paraId="00000088" w14:textId="77777777" w:rsidR="00F32430" w:rsidRDefault="00F32430">
    <w:pPr>
      <w:pBdr>
        <w:top w:val="nil"/>
        <w:left w:val="nil"/>
        <w:bottom w:val="nil"/>
        <w:right w:val="nil"/>
        <w:between w:val="nil"/>
      </w:pBdr>
      <w:tabs>
        <w:tab w:val="center" w:pos="4536"/>
        <w:tab w:val="right" w:pos="9072"/>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642DE" w14:textId="77777777" w:rsidR="002E1D62" w:rsidRDefault="002E1D62">
      <w:pPr>
        <w:spacing w:before="0" w:after="0" w:line="240" w:lineRule="auto"/>
      </w:pPr>
      <w:r>
        <w:separator/>
      </w:r>
    </w:p>
  </w:footnote>
  <w:footnote w:type="continuationSeparator" w:id="0">
    <w:p w14:paraId="040F5F02" w14:textId="77777777" w:rsidR="002E1D62" w:rsidRDefault="002E1D6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73285"/>
    <w:multiLevelType w:val="hybridMultilevel"/>
    <w:tmpl w:val="CE2E40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DC3D89"/>
    <w:multiLevelType w:val="hybridMultilevel"/>
    <w:tmpl w:val="F42C0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CzNDG2MDE0NDAztzRU0lEKTi0uzszPAykwrAUA6mSJ8iwAAAA="/>
    <w:docVar w:name="EN.InstantFormat" w:val="&lt;ENInstantFormat&gt;&lt;Enabled&gt;1&lt;/Enabled&gt;&lt;ScanUnformatted&gt;1&lt;/ScanUnformatted&gt;&lt;ScanChanges&gt;1&lt;/ScanChanges&gt;&lt;Suspended&gt;0&lt;/Suspended&gt;&lt;/ENInstantFormat&gt;"/>
    <w:docVar w:name="EN.Layout" w:val="&lt;ENLayout&gt;&lt;Style&gt;Natural Resources for Human Health&lt;/Style&gt;&lt;LeftDelim&gt;{&lt;/LeftDelim&gt;&lt;RightDelim&gt;}&lt;/RightDelim&gt;&lt;FontName&gt;Times New Roman&lt;/FontName&gt;&lt;FontSize&gt;14&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60225D"/>
    <w:rsid w:val="00005772"/>
    <w:rsid w:val="00076B72"/>
    <w:rsid w:val="00087BB5"/>
    <w:rsid w:val="00093450"/>
    <w:rsid w:val="000977CA"/>
    <w:rsid w:val="000A0933"/>
    <w:rsid w:val="000A476F"/>
    <w:rsid w:val="000C2356"/>
    <w:rsid w:val="000C65C6"/>
    <w:rsid w:val="000D31AE"/>
    <w:rsid w:val="000E4301"/>
    <w:rsid w:val="001104C2"/>
    <w:rsid w:val="00146F8C"/>
    <w:rsid w:val="001A1198"/>
    <w:rsid w:val="001D4D98"/>
    <w:rsid w:val="001D54D7"/>
    <w:rsid w:val="001D61C4"/>
    <w:rsid w:val="002042FD"/>
    <w:rsid w:val="002129A3"/>
    <w:rsid w:val="0021329B"/>
    <w:rsid w:val="002743EF"/>
    <w:rsid w:val="002B6680"/>
    <w:rsid w:val="002D1D97"/>
    <w:rsid w:val="002E19A3"/>
    <w:rsid w:val="002E1D62"/>
    <w:rsid w:val="00332022"/>
    <w:rsid w:val="00341917"/>
    <w:rsid w:val="00343B7B"/>
    <w:rsid w:val="00376FDA"/>
    <w:rsid w:val="003B7AF3"/>
    <w:rsid w:val="003C2FE9"/>
    <w:rsid w:val="003E453E"/>
    <w:rsid w:val="004308AC"/>
    <w:rsid w:val="00434286"/>
    <w:rsid w:val="00436132"/>
    <w:rsid w:val="00462CF5"/>
    <w:rsid w:val="0046761B"/>
    <w:rsid w:val="004C3AAA"/>
    <w:rsid w:val="004F1621"/>
    <w:rsid w:val="0053260F"/>
    <w:rsid w:val="00533261"/>
    <w:rsid w:val="00570417"/>
    <w:rsid w:val="005808AC"/>
    <w:rsid w:val="00580965"/>
    <w:rsid w:val="00584D5B"/>
    <w:rsid w:val="0059059A"/>
    <w:rsid w:val="005A70A4"/>
    <w:rsid w:val="005D1D6A"/>
    <w:rsid w:val="005D7B94"/>
    <w:rsid w:val="005E70CA"/>
    <w:rsid w:val="0060225D"/>
    <w:rsid w:val="00631CC4"/>
    <w:rsid w:val="00652005"/>
    <w:rsid w:val="00695BD9"/>
    <w:rsid w:val="006B1B1A"/>
    <w:rsid w:val="006B3800"/>
    <w:rsid w:val="00736733"/>
    <w:rsid w:val="0075619D"/>
    <w:rsid w:val="00794F3F"/>
    <w:rsid w:val="00795E95"/>
    <w:rsid w:val="007F1B7F"/>
    <w:rsid w:val="008429ED"/>
    <w:rsid w:val="0084580A"/>
    <w:rsid w:val="00876665"/>
    <w:rsid w:val="00884E4F"/>
    <w:rsid w:val="008B0A12"/>
    <w:rsid w:val="008E009E"/>
    <w:rsid w:val="009164F0"/>
    <w:rsid w:val="00941A48"/>
    <w:rsid w:val="00942FC4"/>
    <w:rsid w:val="00960195"/>
    <w:rsid w:val="009B09BB"/>
    <w:rsid w:val="00A4038C"/>
    <w:rsid w:val="00A413D9"/>
    <w:rsid w:val="00A41E29"/>
    <w:rsid w:val="00A463F3"/>
    <w:rsid w:val="00A97ADA"/>
    <w:rsid w:val="00AD05CE"/>
    <w:rsid w:val="00AD5B1F"/>
    <w:rsid w:val="00AE45F0"/>
    <w:rsid w:val="00AF414F"/>
    <w:rsid w:val="00B23692"/>
    <w:rsid w:val="00B25949"/>
    <w:rsid w:val="00B32B97"/>
    <w:rsid w:val="00B36370"/>
    <w:rsid w:val="00B56E50"/>
    <w:rsid w:val="00BB2EA4"/>
    <w:rsid w:val="00BC08F6"/>
    <w:rsid w:val="00BF4388"/>
    <w:rsid w:val="00C4522E"/>
    <w:rsid w:val="00C81207"/>
    <w:rsid w:val="00C86CF8"/>
    <w:rsid w:val="00CD5EE1"/>
    <w:rsid w:val="00D00732"/>
    <w:rsid w:val="00D019F5"/>
    <w:rsid w:val="00D2018F"/>
    <w:rsid w:val="00D20985"/>
    <w:rsid w:val="00D24CC0"/>
    <w:rsid w:val="00D62163"/>
    <w:rsid w:val="00D708FA"/>
    <w:rsid w:val="00D859C2"/>
    <w:rsid w:val="00DD1B26"/>
    <w:rsid w:val="00DE1151"/>
    <w:rsid w:val="00E0042C"/>
    <w:rsid w:val="00E147AD"/>
    <w:rsid w:val="00E33FFB"/>
    <w:rsid w:val="00E37BF5"/>
    <w:rsid w:val="00E4263A"/>
    <w:rsid w:val="00E4504A"/>
    <w:rsid w:val="00E63962"/>
    <w:rsid w:val="00EA68D3"/>
    <w:rsid w:val="00EA6C4C"/>
    <w:rsid w:val="00EB23B1"/>
    <w:rsid w:val="00EE3AA0"/>
    <w:rsid w:val="00EE6066"/>
    <w:rsid w:val="00F16B98"/>
    <w:rsid w:val="00F32430"/>
    <w:rsid w:val="00F63D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AF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en-US"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41917"/>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1917"/>
    <w:rPr>
      <w:rFonts w:ascii="Segoe UI" w:hAnsi="Segoe UI" w:cs="Segoe UI"/>
      <w:sz w:val="18"/>
      <w:szCs w:val="18"/>
    </w:rPr>
  </w:style>
  <w:style w:type="character" w:customStyle="1" w:styleId="authors">
    <w:name w:val="authors"/>
    <w:basedOn w:val="DefaultParagraphFont"/>
    <w:rsid w:val="00631CC4"/>
  </w:style>
  <w:style w:type="character" w:customStyle="1" w:styleId="Date1">
    <w:name w:val="Date1"/>
    <w:basedOn w:val="DefaultParagraphFont"/>
    <w:rsid w:val="00631CC4"/>
  </w:style>
  <w:style w:type="character" w:customStyle="1" w:styleId="arttitle">
    <w:name w:val="art_title"/>
    <w:basedOn w:val="DefaultParagraphFont"/>
    <w:rsid w:val="00631CC4"/>
  </w:style>
  <w:style w:type="character" w:customStyle="1" w:styleId="serialtitle">
    <w:name w:val="serial_title"/>
    <w:basedOn w:val="DefaultParagraphFont"/>
    <w:rsid w:val="00631CC4"/>
  </w:style>
  <w:style w:type="character" w:styleId="Emphasis">
    <w:name w:val="Emphasis"/>
    <w:basedOn w:val="DefaultParagraphFont"/>
    <w:uiPriority w:val="20"/>
    <w:qFormat/>
    <w:rsid w:val="00631CC4"/>
    <w:rPr>
      <w:i/>
      <w:iCs/>
    </w:rPr>
  </w:style>
  <w:style w:type="character" w:customStyle="1" w:styleId="adjust-article-svg-size">
    <w:name w:val="adjust-article-svg-size"/>
    <w:basedOn w:val="DefaultParagraphFont"/>
    <w:rsid w:val="00584D5B"/>
  </w:style>
  <w:style w:type="paragraph" w:styleId="ListParagraph">
    <w:name w:val="List Paragraph"/>
    <w:basedOn w:val="Normal"/>
    <w:uiPriority w:val="34"/>
    <w:qFormat/>
    <w:rsid w:val="00076B72"/>
    <w:pPr>
      <w:ind w:left="720"/>
      <w:contextualSpacing/>
    </w:pPr>
  </w:style>
  <w:style w:type="character" w:customStyle="1" w:styleId="apple-converted-space">
    <w:name w:val="apple-converted-space"/>
    <w:basedOn w:val="DefaultParagraphFont"/>
    <w:rsid w:val="008429ED"/>
  </w:style>
  <w:style w:type="paragraph" w:styleId="HTMLPreformatted">
    <w:name w:val="HTML Preformatted"/>
    <w:basedOn w:val="Normal"/>
    <w:link w:val="HTMLPreformattedChar"/>
    <w:uiPriority w:val="99"/>
    <w:semiHidden/>
    <w:unhideWhenUsed/>
    <w:rsid w:val="00F63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63DBE"/>
    <w:rPr>
      <w:rFonts w:ascii="Courier New" w:hAnsi="Courier New" w:cs="Courier New"/>
      <w:sz w:val="20"/>
      <w:szCs w:val="20"/>
    </w:rPr>
  </w:style>
  <w:style w:type="character" w:customStyle="1" w:styleId="y2iqfc">
    <w:name w:val="y2iqfc"/>
    <w:basedOn w:val="DefaultParagraphFont"/>
    <w:rsid w:val="00F63DBE"/>
  </w:style>
  <w:style w:type="paragraph" w:customStyle="1" w:styleId="EndNoteBibliographyTitle">
    <w:name w:val="EndNote Bibliography Title"/>
    <w:basedOn w:val="Normal"/>
    <w:link w:val="EndNoteBibliographyTitleChar"/>
    <w:rsid w:val="00D019F5"/>
    <w:pPr>
      <w:spacing w:after="0"/>
      <w:jc w:val="center"/>
    </w:pPr>
    <w:rPr>
      <w:noProof/>
    </w:rPr>
  </w:style>
  <w:style w:type="character" w:customStyle="1" w:styleId="EndNoteBibliographyTitleChar">
    <w:name w:val="EndNote Bibliography Title Char"/>
    <w:basedOn w:val="DefaultParagraphFont"/>
    <w:link w:val="EndNoteBibliographyTitle"/>
    <w:rsid w:val="00D019F5"/>
    <w:rPr>
      <w:noProof/>
    </w:rPr>
  </w:style>
  <w:style w:type="paragraph" w:customStyle="1" w:styleId="EndNoteBibliography">
    <w:name w:val="EndNote Bibliography"/>
    <w:basedOn w:val="Normal"/>
    <w:link w:val="EndNoteBibliographyChar"/>
    <w:rsid w:val="00D019F5"/>
    <w:pPr>
      <w:spacing w:line="240" w:lineRule="auto"/>
    </w:pPr>
    <w:rPr>
      <w:noProof/>
    </w:rPr>
  </w:style>
  <w:style w:type="character" w:customStyle="1" w:styleId="EndNoteBibliographyChar">
    <w:name w:val="EndNote Bibliography Char"/>
    <w:basedOn w:val="DefaultParagraphFont"/>
    <w:link w:val="EndNoteBibliography"/>
    <w:rsid w:val="00D019F5"/>
    <w:rPr>
      <w:noProof/>
    </w:rPr>
  </w:style>
  <w:style w:type="character" w:styleId="Hyperlink">
    <w:name w:val="Hyperlink"/>
    <w:basedOn w:val="DefaultParagraphFont"/>
    <w:uiPriority w:val="99"/>
    <w:unhideWhenUsed/>
    <w:rsid w:val="00146F8C"/>
    <w:rPr>
      <w:color w:val="0000FF" w:themeColor="hyperlink"/>
      <w:u w:val="single"/>
    </w:rPr>
  </w:style>
  <w:style w:type="paragraph" w:styleId="Header">
    <w:name w:val="header"/>
    <w:basedOn w:val="Normal"/>
    <w:link w:val="HeaderChar"/>
    <w:uiPriority w:val="99"/>
    <w:unhideWhenUsed/>
    <w:rsid w:val="00087BB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87BB5"/>
  </w:style>
  <w:style w:type="paragraph" w:styleId="Footer">
    <w:name w:val="footer"/>
    <w:basedOn w:val="Normal"/>
    <w:link w:val="FooterChar"/>
    <w:uiPriority w:val="99"/>
    <w:unhideWhenUsed/>
    <w:rsid w:val="00087BB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87BB5"/>
  </w:style>
  <w:style w:type="character" w:styleId="LineNumber">
    <w:name w:val="line number"/>
    <w:basedOn w:val="DefaultParagraphFont"/>
    <w:uiPriority w:val="99"/>
    <w:semiHidden/>
    <w:unhideWhenUsed/>
    <w:rsid w:val="00A97ADA"/>
  </w:style>
  <w:style w:type="character" w:customStyle="1" w:styleId="UnresolvedMention1">
    <w:name w:val="Unresolved Mention1"/>
    <w:basedOn w:val="DefaultParagraphFont"/>
    <w:uiPriority w:val="99"/>
    <w:semiHidden/>
    <w:unhideWhenUsed/>
    <w:rsid w:val="003320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689368">
      <w:bodyDiv w:val="1"/>
      <w:marLeft w:val="0"/>
      <w:marRight w:val="0"/>
      <w:marTop w:val="0"/>
      <w:marBottom w:val="0"/>
      <w:divBdr>
        <w:top w:val="none" w:sz="0" w:space="0" w:color="auto"/>
        <w:left w:val="none" w:sz="0" w:space="0" w:color="auto"/>
        <w:bottom w:val="none" w:sz="0" w:space="0" w:color="auto"/>
        <w:right w:val="none" w:sz="0" w:space="0" w:color="auto"/>
      </w:divBdr>
    </w:div>
    <w:div w:id="1044065836">
      <w:bodyDiv w:val="1"/>
      <w:marLeft w:val="0"/>
      <w:marRight w:val="0"/>
      <w:marTop w:val="0"/>
      <w:marBottom w:val="0"/>
      <w:divBdr>
        <w:top w:val="none" w:sz="0" w:space="0" w:color="auto"/>
        <w:left w:val="none" w:sz="0" w:space="0" w:color="auto"/>
        <w:bottom w:val="none" w:sz="0" w:space="0" w:color="auto"/>
        <w:right w:val="none" w:sz="0" w:space="0" w:color="auto"/>
      </w:divBdr>
    </w:div>
    <w:div w:id="1336500024">
      <w:bodyDiv w:val="1"/>
      <w:marLeft w:val="0"/>
      <w:marRight w:val="0"/>
      <w:marTop w:val="0"/>
      <w:marBottom w:val="0"/>
      <w:divBdr>
        <w:top w:val="none" w:sz="0" w:space="0" w:color="auto"/>
        <w:left w:val="none" w:sz="0" w:space="0" w:color="auto"/>
        <w:bottom w:val="none" w:sz="0" w:space="0" w:color="auto"/>
        <w:right w:val="none" w:sz="0" w:space="0" w:color="auto"/>
      </w:divBdr>
      <w:divsChild>
        <w:div w:id="1240822942">
          <w:marLeft w:val="2023"/>
          <w:marRight w:val="405"/>
          <w:marTop w:val="0"/>
          <w:marBottom w:val="0"/>
          <w:divBdr>
            <w:top w:val="none" w:sz="0" w:space="0" w:color="auto"/>
            <w:left w:val="none" w:sz="0" w:space="0" w:color="auto"/>
            <w:bottom w:val="none" w:sz="0" w:space="0" w:color="auto"/>
            <w:right w:val="none" w:sz="0" w:space="0" w:color="auto"/>
          </w:divBdr>
          <w:divsChild>
            <w:div w:id="475757035">
              <w:marLeft w:val="0"/>
              <w:marRight w:val="0"/>
              <w:marTop w:val="0"/>
              <w:marBottom w:val="60"/>
              <w:divBdr>
                <w:top w:val="none" w:sz="0" w:space="0" w:color="auto"/>
                <w:left w:val="none" w:sz="0" w:space="0" w:color="auto"/>
                <w:bottom w:val="none" w:sz="0" w:space="0" w:color="auto"/>
                <w:right w:val="none" w:sz="0" w:space="0" w:color="auto"/>
              </w:divBdr>
            </w:div>
          </w:divsChild>
        </w:div>
        <w:div w:id="866530373">
          <w:marLeft w:val="405"/>
          <w:marRight w:val="2023"/>
          <w:marTop w:val="0"/>
          <w:marBottom w:val="0"/>
          <w:divBdr>
            <w:top w:val="none" w:sz="0" w:space="0" w:color="auto"/>
            <w:left w:val="none" w:sz="0" w:space="0" w:color="auto"/>
            <w:bottom w:val="none" w:sz="0" w:space="0" w:color="auto"/>
            <w:right w:val="none" w:sz="0" w:space="0" w:color="auto"/>
          </w:divBdr>
        </w:div>
        <w:div w:id="1417482458">
          <w:marLeft w:val="0"/>
          <w:marRight w:val="0"/>
          <w:marTop w:val="0"/>
          <w:marBottom w:val="0"/>
          <w:divBdr>
            <w:top w:val="none" w:sz="0" w:space="0" w:color="auto"/>
            <w:left w:val="none" w:sz="0" w:space="0" w:color="auto"/>
            <w:bottom w:val="dotted" w:sz="6" w:space="8" w:color="FF0000"/>
            <w:right w:val="none" w:sz="0" w:space="0" w:color="auto"/>
          </w:divBdr>
        </w:div>
        <w:div w:id="393049078">
          <w:marLeft w:val="0"/>
          <w:marRight w:val="0"/>
          <w:marTop w:val="0"/>
          <w:marBottom w:val="0"/>
          <w:divBdr>
            <w:top w:val="dotted" w:sz="2" w:space="6" w:color="000000"/>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khanzengin@selcuk.edu.t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85088-C0AB-4C35-BCE8-3B3682036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2325</Words>
  <Characters>13255</Characters>
  <Application>Microsoft Office Word</Application>
  <DocSecurity>0</DocSecurity>
  <Lines>110</Lines>
  <Paragraphs>31</Paragraphs>
  <ScaleCrop>false</ScaleCrop>
  <HeadingPairs>
    <vt:vector size="6" baseType="variant">
      <vt:variant>
        <vt:lpstr>Konu Başlığı</vt:lpstr>
      </vt:variant>
      <vt:variant>
        <vt:i4>1</vt:i4>
      </vt:variant>
      <vt:variant>
        <vt:lpstr>Title</vt:lpstr>
      </vt:variant>
      <vt:variant>
        <vt:i4>1</vt:i4>
      </vt:variant>
      <vt:variant>
        <vt:lpstr>العنوان</vt:lpstr>
      </vt:variant>
      <vt:variant>
        <vt:i4>1</vt:i4>
      </vt:variant>
    </vt:vector>
  </HeadingPairs>
  <TitlesOfParts>
    <vt:vector size="3" baseType="lpstr">
      <vt:lpstr/>
      <vt:lpstr/>
      <vt:lpstr/>
    </vt:vector>
  </TitlesOfParts>
  <Company/>
  <LinksUpToDate>false</LinksUpToDate>
  <CharactersWithSpaces>15549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2021-11-08T12:52:00Z</cp:lastPrinted>
  <dcterms:created xsi:type="dcterms:W3CDTF">2022-01-10T13:53:00Z</dcterms:created>
  <dcterms:modified xsi:type="dcterms:W3CDTF">2022-02-07T07:59:00Z</dcterms:modified>
</cp:coreProperties>
</file>