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13DFB" w14:textId="2B0220E5" w:rsidR="001117B2" w:rsidRPr="00040B17" w:rsidRDefault="001117B2" w:rsidP="00040B17">
      <w:pPr>
        <w:spacing w:line="480" w:lineRule="auto"/>
        <w:jc w:val="both"/>
        <w:rPr>
          <w:rFonts w:ascii="Times New Roman" w:hAnsi="Times New Roman" w:cs="Times New Roman"/>
          <w:b/>
          <w:color w:val="000000" w:themeColor="text1"/>
          <w:sz w:val="24"/>
          <w:szCs w:val="24"/>
          <w:u w:val="single"/>
        </w:rPr>
      </w:pPr>
      <w:r w:rsidRPr="00040B17">
        <w:rPr>
          <w:rFonts w:ascii="Times New Roman" w:hAnsi="Times New Roman" w:cs="Times New Roman"/>
          <w:b/>
          <w:color w:val="000000" w:themeColor="text1"/>
          <w:sz w:val="24"/>
          <w:szCs w:val="24"/>
          <w:u w:val="single"/>
        </w:rPr>
        <w:t>Supplementary file</w:t>
      </w:r>
    </w:p>
    <w:p w14:paraId="318D4733" w14:textId="77777777" w:rsidR="0027502D" w:rsidRPr="00040B17" w:rsidRDefault="0027502D" w:rsidP="00040B17">
      <w:pPr>
        <w:spacing w:line="480" w:lineRule="auto"/>
        <w:jc w:val="both"/>
        <w:rPr>
          <w:rFonts w:ascii="Times New Roman" w:eastAsia="Calibri" w:hAnsi="Times New Roman" w:cs="Times New Roman"/>
          <w:b/>
          <w:color w:val="000000" w:themeColor="text1"/>
          <w:sz w:val="24"/>
          <w:szCs w:val="24"/>
        </w:rPr>
      </w:pPr>
      <w:r w:rsidRPr="00040B17">
        <w:rPr>
          <w:rFonts w:ascii="Times New Roman" w:eastAsia="Calibri" w:hAnsi="Times New Roman" w:cs="Times New Roman"/>
          <w:b/>
          <w:color w:val="000000" w:themeColor="text1"/>
          <w:sz w:val="24"/>
          <w:szCs w:val="24"/>
        </w:rPr>
        <w:t xml:space="preserve">Comparative antioxidant, antibacterial and phytochemical analysis of roots, stems, leaves and seeds from </w:t>
      </w:r>
      <w:r w:rsidRPr="00040B17">
        <w:rPr>
          <w:rFonts w:ascii="Times New Roman" w:eastAsia="Calibri" w:hAnsi="Times New Roman" w:cs="Times New Roman"/>
          <w:b/>
          <w:i/>
          <w:color w:val="000000" w:themeColor="text1"/>
          <w:sz w:val="24"/>
          <w:szCs w:val="24"/>
        </w:rPr>
        <w:t>Cleome rutidosperma</w:t>
      </w:r>
      <w:r w:rsidRPr="00040B17">
        <w:rPr>
          <w:rFonts w:ascii="Times New Roman" w:eastAsia="Calibri" w:hAnsi="Times New Roman" w:cs="Times New Roman"/>
          <w:b/>
          <w:color w:val="000000" w:themeColor="text1"/>
          <w:sz w:val="24"/>
          <w:szCs w:val="24"/>
        </w:rPr>
        <w:t xml:space="preserve"> DC</w:t>
      </w:r>
    </w:p>
    <w:p w14:paraId="13F14938" w14:textId="394C27EE" w:rsidR="0027502D" w:rsidRPr="00040B17" w:rsidRDefault="0027502D" w:rsidP="00040B17">
      <w:pPr>
        <w:spacing w:line="480" w:lineRule="auto"/>
        <w:jc w:val="both"/>
        <w:rPr>
          <w:rFonts w:ascii="Times New Roman" w:hAnsi="Times New Roman" w:cs="Times New Roman"/>
          <w:color w:val="000000" w:themeColor="text1"/>
          <w:sz w:val="24"/>
          <w:szCs w:val="24"/>
        </w:rPr>
      </w:pPr>
      <w:bookmarkStart w:id="0" w:name="_Hlk93822983"/>
      <w:r w:rsidRPr="00040B17">
        <w:rPr>
          <w:rFonts w:ascii="Times New Roman" w:hAnsi="Times New Roman" w:cs="Times New Roman"/>
          <w:color w:val="000000" w:themeColor="text1"/>
          <w:sz w:val="24"/>
          <w:szCs w:val="24"/>
        </w:rPr>
        <w:t>Arumugam</w:t>
      </w:r>
      <w:r w:rsidR="004525BC" w:rsidRPr="00040B17">
        <w:rPr>
          <w:rFonts w:ascii="Times New Roman" w:hAnsi="Times New Roman" w:cs="Times New Roman"/>
          <w:color w:val="000000" w:themeColor="text1"/>
          <w:sz w:val="24"/>
          <w:szCs w:val="24"/>
        </w:rPr>
        <w:t xml:space="preserve"> Radjassegarin</w:t>
      </w:r>
      <w:r w:rsidRPr="00040B17">
        <w:rPr>
          <w:rFonts w:ascii="Times New Roman" w:hAnsi="Times New Roman" w:cs="Times New Roman"/>
          <w:color w:val="000000" w:themeColor="text1"/>
          <w:sz w:val="24"/>
          <w:szCs w:val="24"/>
          <w:vertAlign w:val="superscript"/>
        </w:rPr>
        <w:t>a,</w:t>
      </w:r>
      <w:r w:rsidRPr="00040B17">
        <w:rPr>
          <w:rFonts w:ascii="Times New Roman" w:hAnsi="Times New Roman" w:cs="Times New Roman"/>
          <w:color w:val="000000" w:themeColor="text1"/>
          <w:sz w:val="24"/>
          <w:szCs w:val="24"/>
        </w:rPr>
        <w:t xml:space="preserve">*, </w:t>
      </w:r>
      <w:r w:rsidR="004525BC" w:rsidRPr="00040B17">
        <w:rPr>
          <w:rFonts w:ascii="Times New Roman" w:hAnsi="Times New Roman" w:cs="Times New Roman"/>
          <w:color w:val="000000" w:themeColor="text1"/>
          <w:sz w:val="24"/>
          <w:szCs w:val="24"/>
        </w:rPr>
        <w:t>Balachandravinayagam Elanchezhian</w:t>
      </w:r>
      <w:r w:rsidRPr="00040B17">
        <w:rPr>
          <w:rFonts w:ascii="Times New Roman" w:hAnsi="Times New Roman" w:cs="Times New Roman"/>
          <w:color w:val="000000" w:themeColor="text1"/>
          <w:sz w:val="24"/>
          <w:szCs w:val="24"/>
          <w:vertAlign w:val="superscript"/>
        </w:rPr>
        <w:t>b</w:t>
      </w:r>
      <w:r w:rsidRPr="00040B17">
        <w:rPr>
          <w:rFonts w:ascii="Times New Roman" w:hAnsi="Times New Roman" w:cs="Times New Roman"/>
          <w:color w:val="000000" w:themeColor="text1"/>
          <w:sz w:val="24"/>
          <w:szCs w:val="24"/>
        </w:rPr>
        <w:t xml:space="preserve">, </w:t>
      </w:r>
      <w:r w:rsidR="004525BC" w:rsidRPr="00040B17">
        <w:rPr>
          <w:rFonts w:ascii="Times New Roman" w:hAnsi="Times New Roman" w:cs="Times New Roman"/>
          <w:color w:val="000000" w:themeColor="text1"/>
          <w:sz w:val="24"/>
          <w:szCs w:val="24"/>
        </w:rPr>
        <w:t>Jayakumar Samidurai</w:t>
      </w:r>
      <w:r w:rsidRPr="00040B17">
        <w:rPr>
          <w:rFonts w:ascii="Times New Roman" w:hAnsi="Times New Roman" w:cs="Times New Roman"/>
          <w:color w:val="000000" w:themeColor="text1"/>
          <w:sz w:val="24"/>
          <w:szCs w:val="24"/>
          <w:vertAlign w:val="superscript"/>
        </w:rPr>
        <w:t>c</w:t>
      </w:r>
      <w:r w:rsidRPr="00040B17">
        <w:rPr>
          <w:rFonts w:ascii="Times New Roman" w:hAnsi="Times New Roman" w:cs="Times New Roman"/>
          <w:color w:val="000000" w:themeColor="text1"/>
          <w:sz w:val="24"/>
          <w:szCs w:val="24"/>
        </w:rPr>
        <w:t xml:space="preserve">, </w:t>
      </w:r>
      <w:r w:rsidR="004F59C6" w:rsidRPr="004F59C6">
        <w:rPr>
          <w:rFonts w:ascii="Times New Roman" w:hAnsi="Times New Roman" w:cs="Times New Roman"/>
          <w:color w:val="000000" w:themeColor="text1"/>
          <w:sz w:val="24"/>
          <w:szCs w:val="24"/>
        </w:rPr>
        <w:t>Kaliyamoorthy Amirthaganesan</w:t>
      </w:r>
      <w:r w:rsidRPr="00040B17">
        <w:rPr>
          <w:rFonts w:ascii="Times New Roman" w:hAnsi="Times New Roman" w:cs="Times New Roman"/>
          <w:color w:val="000000" w:themeColor="text1"/>
          <w:sz w:val="24"/>
          <w:szCs w:val="24"/>
        </w:rPr>
        <w:t xml:space="preserve"> </w:t>
      </w:r>
      <w:r w:rsidRPr="00040B17">
        <w:rPr>
          <w:rFonts w:ascii="Times New Roman" w:hAnsi="Times New Roman" w:cs="Times New Roman"/>
          <w:color w:val="000000" w:themeColor="text1"/>
          <w:sz w:val="24"/>
          <w:szCs w:val="24"/>
          <w:vertAlign w:val="superscript"/>
        </w:rPr>
        <w:t>b</w:t>
      </w:r>
    </w:p>
    <w:bookmarkEnd w:id="0"/>
    <w:p w14:paraId="2A92AD15" w14:textId="25342EEE" w:rsidR="0027502D" w:rsidRPr="00040B17" w:rsidRDefault="0027502D" w:rsidP="00040B17">
      <w:pPr>
        <w:spacing w:line="480" w:lineRule="auto"/>
        <w:jc w:val="both"/>
        <w:rPr>
          <w:rFonts w:ascii="Times New Roman" w:hAnsi="Times New Roman" w:cs="Times New Roman"/>
          <w:color w:val="000000" w:themeColor="text1"/>
          <w:sz w:val="24"/>
          <w:szCs w:val="24"/>
        </w:rPr>
      </w:pPr>
      <w:r w:rsidRPr="00040B17">
        <w:rPr>
          <w:rFonts w:ascii="Times New Roman" w:hAnsi="Times New Roman" w:cs="Times New Roman"/>
          <w:color w:val="000000" w:themeColor="text1"/>
          <w:sz w:val="24"/>
          <w:szCs w:val="24"/>
          <w:vertAlign w:val="superscript"/>
        </w:rPr>
        <w:t xml:space="preserve">a </w:t>
      </w:r>
      <w:r w:rsidRPr="00040B17">
        <w:rPr>
          <w:rFonts w:ascii="Times New Roman" w:hAnsi="Times New Roman" w:cs="Times New Roman"/>
          <w:color w:val="000000" w:themeColor="text1"/>
          <w:sz w:val="24"/>
          <w:szCs w:val="24"/>
        </w:rPr>
        <w:t>Department of Botany, A.V.C. College (Autonomous), Mannampandal, Tamil Nadu, India</w:t>
      </w:r>
    </w:p>
    <w:p w14:paraId="5806B9E5" w14:textId="77777777" w:rsidR="0027502D" w:rsidRPr="00040B17" w:rsidRDefault="0027502D" w:rsidP="00040B17">
      <w:pPr>
        <w:spacing w:line="480" w:lineRule="auto"/>
        <w:jc w:val="both"/>
        <w:rPr>
          <w:rFonts w:ascii="Times New Roman" w:hAnsi="Times New Roman" w:cs="Times New Roman"/>
          <w:color w:val="000000" w:themeColor="text1"/>
          <w:sz w:val="24"/>
          <w:szCs w:val="24"/>
        </w:rPr>
      </w:pPr>
      <w:r w:rsidRPr="00040B17">
        <w:rPr>
          <w:rFonts w:ascii="Times New Roman" w:hAnsi="Times New Roman" w:cs="Times New Roman"/>
          <w:color w:val="000000" w:themeColor="text1"/>
          <w:sz w:val="24"/>
          <w:szCs w:val="24"/>
          <w:vertAlign w:val="superscript"/>
        </w:rPr>
        <w:t>b</w:t>
      </w:r>
      <w:r w:rsidRPr="00040B17">
        <w:rPr>
          <w:rFonts w:ascii="Times New Roman" w:hAnsi="Times New Roman" w:cs="Times New Roman"/>
          <w:color w:val="000000" w:themeColor="text1"/>
          <w:sz w:val="24"/>
          <w:szCs w:val="24"/>
        </w:rPr>
        <w:t xml:space="preserve"> Department of Chemistry, A.V.C. College (Autonomous), Mannampandal, Tamil Nadu, India </w:t>
      </w:r>
    </w:p>
    <w:p w14:paraId="15167A09" w14:textId="0388766F" w:rsidR="0027502D" w:rsidRPr="00040B17" w:rsidRDefault="0027502D" w:rsidP="00040B17">
      <w:pPr>
        <w:spacing w:line="480" w:lineRule="auto"/>
        <w:jc w:val="both"/>
        <w:rPr>
          <w:rFonts w:ascii="Times New Roman" w:hAnsi="Times New Roman" w:cs="Times New Roman"/>
          <w:color w:val="000000" w:themeColor="text1"/>
          <w:sz w:val="24"/>
          <w:szCs w:val="24"/>
        </w:rPr>
      </w:pPr>
      <w:r w:rsidRPr="00040B17">
        <w:rPr>
          <w:rFonts w:ascii="Times New Roman" w:hAnsi="Times New Roman" w:cs="Times New Roman"/>
          <w:color w:val="000000" w:themeColor="text1"/>
          <w:sz w:val="24"/>
          <w:szCs w:val="24"/>
          <w:vertAlign w:val="superscript"/>
        </w:rPr>
        <w:t xml:space="preserve">c </w:t>
      </w:r>
      <w:r w:rsidRPr="00040B17">
        <w:rPr>
          <w:rFonts w:ascii="Times New Roman" w:hAnsi="Times New Roman" w:cs="Times New Roman"/>
          <w:color w:val="000000" w:themeColor="text1"/>
          <w:sz w:val="24"/>
          <w:szCs w:val="24"/>
        </w:rPr>
        <w:t xml:space="preserve">P.G. and Research Department of Zoology and Wildlife Biology, A.V.C. College (Autonomous), Mannampandal, Tamil Nadu, India </w:t>
      </w:r>
    </w:p>
    <w:p w14:paraId="1A5457B4" w14:textId="77777777" w:rsidR="0027502D" w:rsidRPr="00040B17" w:rsidRDefault="0027502D" w:rsidP="00040B17">
      <w:pPr>
        <w:spacing w:line="480" w:lineRule="auto"/>
        <w:jc w:val="both"/>
        <w:rPr>
          <w:rFonts w:ascii="Times New Roman" w:hAnsi="Times New Roman" w:cs="Times New Roman"/>
          <w:color w:val="000000" w:themeColor="text1"/>
          <w:sz w:val="24"/>
          <w:szCs w:val="24"/>
        </w:rPr>
      </w:pPr>
    </w:p>
    <w:p w14:paraId="193FDA46" w14:textId="0F2283CF" w:rsidR="0027502D" w:rsidRPr="00040B17" w:rsidRDefault="0027502D" w:rsidP="00040B17">
      <w:pPr>
        <w:spacing w:line="480" w:lineRule="auto"/>
        <w:jc w:val="both"/>
        <w:rPr>
          <w:rFonts w:ascii="Times New Roman" w:hAnsi="Times New Roman" w:cs="Times New Roman"/>
          <w:color w:val="000000" w:themeColor="text1"/>
          <w:sz w:val="24"/>
          <w:szCs w:val="24"/>
        </w:rPr>
      </w:pPr>
      <w:r w:rsidRPr="00040B17">
        <w:rPr>
          <w:rFonts w:ascii="Times New Roman" w:hAnsi="Times New Roman" w:cs="Times New Roman"/>
          <w:color w:val="000000" w:themeColor="text1"/>
          <w:sz w:val="24"/>
          <w:szCs w:val="24"/>
        </w:rPr>
        <w:t>* Corresponding author: R. Arumugam (</w:t>
      </w:r>
      <w:hyperlink r:id="rId6" w:history="1">
        <w:r w:rsidRPr="00040B17">
          <w:rPr>
            <w:rStyle w:val="Hyperlink"/>
            <w:rFonts w:ascii="Times New Roman" w:hAnsi="Times New Roman" w:cs="Times New Roman"/>
            <w:sz w:val="24"/>
            <w:szCs w:val="24"/>
          </w:rPr>
          <w:t>rmugam@gmail.com</w:t>
        </w:r>
      </w:hyperlink>
      <w:r w:rsidRPr="00040B17">
        <w:rPr>
          <w:rFonts w:ascii="Times New Roman" w:hAnsi="Times New Roman" w:cs="Times New Roman"/>
          <w:color w:val="000000" w:themeColor="text1"/>
          <w:sz w:val="24"/>
          <w:szCs w:val="24"/>
        </w:rPr>
        <w:t xml:space="preserve">). </w:t>
      </w:r>
    </w:p>
    <w:p w14:paraId="0BB4C8F0" w14:textId="77777777" w:rsidR="0027502D" w:rsidRPr="00040B17" w:rsidRDefault="0027502D" w:rsidP="00040B17">
      <w:pPr>
        <w:spacing w:line="480" w:lineRule="auto"/>
        <w:jc w:val="both"/>
        <w:rPr>
          <w:rFonts w:ascii="Times New Roman" w:hAnsi="Times New Roman" w:cs="Times New Roman"/>
          <w:b/>
          <w:color w:val="000000" w:themeColor="text1"/>
          <w:sz w:val="24"/>
          <w:szCs w:val="24"/>
        </w:rPr>
      </w:pPr>
    </w:p>
    <w:p w14:paraId="376F8F78" w14:textId="77777777" w:rsidR="0027502D" w:rsidRPr="00040B17" w:rsidRDefault="0027502D" w:rsidP="00040B17">
      <w:pPr>
        <w:spacing w:line="480" w:lineRule="auto"/>
        <w:rPr>
          <w:rFonts w:ascii="Times New Roman" w:hAnsi="Times New Roman" w:cs="Times New Roman"/>
          <w:b/>
          <w:sz w:val="24"/>
          <w:szCs w:val="24"/>
        </w:rPr>
      </w:pPr>
      <w:r w:rsidRPr="00040B17">
        <w:rPr>
          <w:rFonts w:ascii="Times New Roman" w:hAnsi="Times New Roman" w:cs="Times New Roman"/>
          <w:b/>
          <w:sz w:val="24"/>
          <w:szCs w:val="24"/>
        </w:rPr>
        <w:br w:type="page"/>
      </w:r>
    </w:p>
    <w:p w14:paraId="117153ED" w14:textId="77777777" w:rsidR="001117B2" w:rsidRPr="00040B17" w:rsidRDefault="001117B2" w:rsidP="00040B17">
      <w:pPr>
        <w:spacing w:line="480" w:lineRule="auto"/>
        <w:jc w:val="both"/>
        <w:rPr>
          <w:rFonts w:ascii="Times New Roman" w:hAnsi="Times New Roman" w:cs="Times New Roman"/>
          <w:b/>
          <w:color w:val="000000" w:themeColor="text1"/>
          <w:sz w:val="24"/>
          <w:szCs w:val="24"/>
        </w:rPr>
      </w:pPr>
      <w:r w:rsidRPr="00040B17">
        <w:rPr>
          <w:rFonts w:ascii="Times New Roman" w:hAnsi="Times New Roman" w:cs="Times New Roman"/>
          <w:b/>
          <w:color w:val="000000" w:themeColor="text1"/>
          <w:sz w:val="24"/>
          <w:szCs w:val="24"/>
        </w:rPr>
        <w:lastRenderedPageBreak/>
        <w:t>Preparation of ethanolic extracts</w:t>
      </w:r>
    </w:p>
    <w:p w14:paraId="43AD567B" w14:textId="0CA5EC74" w:rsidR="001117B2" w:rsidRPr="00040B17" w:rsidRDefault="001117B2" w:rsidP="00040B17">
      <w:pPr>
        <w:spacing w:line="480" w:lineRule="auto"/>
        <w:jc w:val="both"/>
        <w:rPr>
          <w:rFonts w:ascii="Times New Roman" w:hAnsi="Times New Roman" w:cs="Times New Roman"/>
          <w:color w:val="000000" w:themeColor="text1"/>
          <w:sz w:val="24"/>
          <w:szCs w:val="24"/>
        </w:rPr>
      </w:pPr>
      <w:r w:rsidRPr="00040B17">
        <w:rPr>
          <w:rFonts w:ascii="Times New Roman" w:hAnsi="Times New Roman" w:cs="Times New Roman"/>
          <w:color w:val="000000" w:themeColor="text1"/>
          <w:sz w:val="24"/>
          <w:szCs w:val="24"/>
        </w:rPr>
        <w:t>Dried powdered samples (50 g) were extracted separately in 500 mL ethanol for 48 hours. The extraction was done twice and filtered each time with Whatman No. 1 filter paper. T</w:t>
      </w:r>
      <w:r w:rsidR="0027502D" w:rsidRPr="00040B17">
        <w:rPr>
          <w:rFonts w:ascii="Times New Roman" w:hAnsi="Times New Roman" w:cs="Times New Roman"/>
          <w:color w:val="000000" w:themeColor="text1"/>
          <w:sz w:val="24"/>
          <w:szCs w:val="24"/>
        </w:rPr>
        <w:t>he filtrate was evaporated to dryness and refrigerated until it was inspected to remove the extraction solvent</w:t>
      </w:r>
      <w:r w:rsidRPr="00040B17">
        <w:rPr>
          <w:rFonts w:ascii="Times New Roman" w:hAnsi="Times New Roman" w:cs="Times New Roman"/>
          <w:color w:val="000000" w:themeColor="text1"/>
          <w:sz w:val="24"/>
          <w:szCs w:val="24"/>
        </w:rPr>
        <w:t>.</w:t>
      </w:r>
    </w:p>
    <w:p w14:paraId="6BDB8D0A" w14:textId="77777777" w:rsidR="001117B2" w:rsidRPr="00040B17" w:rsidRDefault="001117B2" w:rsidP="00040B17">
      <w:pPr>
        <w:spacing w:line="480" w:lineRule="auto"/>
        <w:jc w:val="both"/>
        <w:rPr>
          <w:rFonts w:ascii="Times New Roman" w:hAnsi="Times New Roman" w:cs="Times New Roman"/>
          <w:b/>
          <w:color w:val="000000" w:themeColor="text1"/>
          <w:sz w:val="24"/>
          <w:szCs w:val="24"/>
        </w:rPr>
      </w:pPr>
      <w:r w:rsidRPr="00040B17">
        <w:rPr>
          <w:rFonts w:ascii="Times New Roman" w:hAnsi="Times New Roman" w:cs="Times New Roman"/>
          <w:b/>
          <w:color w:val="000000" w:themeColor="text1"/>
          <w:sz w:val="24"/>
          <w:szCs w:val="24"/>
        </w:rPr>
        <w:t>Qualitative and Qualitative phytochemical analysis</w:t>
      </w:r>
    </w:p>
    <w:p w14:paraId="60BEA919" w14:textId="4B124338" w:rsidR="001117B2" w:rsidRPr="00040B17" w:rsidRDefault="0027502D" w:rsidP="00040B17">
      <w:pPr>
        <w:spacing w:line="480" w:lineRule="auto"/>
        <w:jc w:val="both"/>
        <w:rPr>
          <w:rFonts w:ascii="Times New Roman" w:hAnsi="Times New Roman" w:cs="Times New Roman"/>
          <w:color w:val="000000" w:themeColor="text1"/>
          <w:sz w:val="24"/>
          <w:szCs w:val="24"/>
        </w:rPr>
      </w:pPr>
      <w:r w:rsidRPr="00040B17">
        <w:rPr>
          <w:rFonts w:ascii="Times New Roman" w:hAnsi="Times New Roman" w:cs="Times New Roman"/>
          <w:color w:val="000000" w:themeColor="text1"/>
          <w:sz w:val="24"/>
          <w:szCs w:val="24"/>
        </w:rPr>
        <w:t>Olaniyi et al. (1975) procedures</w:t>
      </w:r>
      <w:r w:rsidR="001117B2" w:rsidRPr="00040B17">
        <w:rPr>
          <w:rFonts w:ascii="Times New Roman" w:hAnsi="Times New Roman" w:cs="Times New Roman"/>
          <w:color w:val="000000" w:themeColor="text1"/>
          <w:sz w:val="24"/>
          <w:szCs w:val="24"/>
        </w:rPr>
        <w:t xml:space="preserve"> were used to identify phytochemical elements such as alkaloids, coumarins, flavonoids, free amino acids, glycosides, phenols, proteins, quinones, saponins, sterols, sugars, tannins, and terpenoids in the extracts.</w:t>
      </w:r>
      <w:r w:rsidRPr="00040B17">
        <w:rPr>
          <w:rFonts w:ascii="Times New Roman" w:hAnsi="Times New Roman" w:cs="Times New Roman"/>
          <w:color w:val="000000" w:themeColor="text1"/>
          <w:sz w:val="24"/>
          <w:szCs w:val="24"/>
        </w:rPr>
        <w:t xml:space="preserve"> </w:t>
      </w:r>
      <w:r w:rsidR="001117B2" w:rsidRPr="00040B17">
        <w:rPr>
          <w:rFonts w:ascii="Times New Roman" w:hAnsi="Times New Roman" w:cs="Times New Roman"/>
          <w:color w:val="000000" w:themeColor="text1"/>
          <w:sz w:val="24"/>
          <w:szCs w:val="24"/>
        </w:rPr>
        <w:t>The total phenolic and flavonoid content were determined employing Velioglu et al. (1998) and Edeoga et al. (2005) procedures, respectively.</w:t>
      </w:r>
    </w:p>
    <w:p w14:paraId="0D6A16A7" w14:textId="77777777" w:rsidR="001117B2" w:rsidRPr="00040B17" w:rsidRDefault="001117B2" w:rsidP="00040B17">
      <w:pPr>
        <w:spacing w:line="480" w:lineRule="auto"/>
        <w:jc w:val="both"/>
        <w:rPr>
          <w:rFonts w:ascii="Times New Roman" w:hAnsi="Times New Roman" w:cs="Times New Roman"/>
          <w:b/>
          <w:color w:val="000000" w:themeColor="text1"/>
          <w:sz w:val="24"/>
          <w:szCs w:val="24"/>
        </w:rPr>
      </w:pPr>
      <w:r w:rsidRPr="00040B17">
        <w:rPr>
          <w:rFonts w:ascii="Times New Roman" w:hAnsi="Times New Roman" w:cs="Times New Roman"/>
          <w:b/>
          <w:color w:val="000000" w:themeColor="text1"/>
          <w:sz w:val="24"/>
          <w:szCs w:val="24"/>
        </w:rPr>
        <w:t>Determination of the activity potentials of the samples</w:t>
      </w:r>
    </w:p>
    <w:p w14:paraId="39F3ADBB" w14:textId="5FFB8706" w:rsidR="001117B2" w:rsidRPr="00040B17" w:rsidRDefault="001117B2" w:rsidP="00040B17">
      <w:pPr>
        <w:spacing w:line="480" w:lineRule="auto"/>
        <w:jc w:val="both"/>
        <w:rPr>
          <w:rFonts w:ascii="Times New Roman" w:hAnsi="Times New Roman" w:cs="Times New Roman"/>
          <w:sz w:val="24"/>
          <w:szCs w:val="24"/>
          <w:shd w:val="clear" w:color="auto" w:fill="FFFFFF"/>
        </w:rPr>
      </w:pPr>
      <w:r w:rsidRPr="00040B17">
        <w:rPr>
          <w:rFonts w:ascii="Times New Roman" w:eastAsia="Calibri" w:hAnsi="Times New Roman" w:cs="Times New Roman"/>
          <w:sz w:val="24"/>
          <w:szCs w:val="24"/>
        </w:rPr>
        <w:t xml:space="preserve">Antioxidant activities such as DPPH radical scavenging (Yen and Chen, 1995), </w:t>
      </w:r>
      <w:r w:rsidRPr="00040B17">
        <w:rPr>
          <w:rFonts w:ascii="Times New Roman" w:hAnsi="Times New Roman" w:cs="Times New Roman"/>
          <w:sz w:val="24"/>
          <w:szCs w:val="24"/>
          <w:shd w:val="clear" w:color="auto" w:fill="FFFFFF"/>
        </w:rPr>
        <w:t xml:space="preserve">reducing power (Oyaizu 1986), and total antioxidant (Prieto et al., 1999) of the crude extract was determined according to the </w:t>
      </w:r>
      <w:r w:rsidR="0027502D" w:rsidRPr="00040B17">
        <w:rPr>
          <w:rFonts w:ascii="Times New Roman" w:hAnsi="Times New Roman" w:cs="Times New Roman"/>
          <w:sz w:val="24"/>
          <w:szCs w:val="24"/>
          <w:shd w:val="clear" w:color="auto" w:fill="FFFFFF"/>
        </w:rPr>
        <w:t>literature mentioned above</w:t>
      </w:r>
      <w:r w:rsidRPr="00040B17">
        <w:rPr>
          <w:rFonts w:ascii="Times New Roman" w:hAnsi="Times New Roman" w:cs="Times New Roman"/>
          <w:sz w:val="24"/>
          <w:szCs w:val="24"/>
          <w:shd w:val="clear" w:color="auto" w:fill="FFFFFF"/>
        </w:rPr>
        <w:t>.</w:t>
      </w:r>
    </w:p>
    <w:p w14:paraId="545CA717" w14:textId="77777777" w:rsidR="001117B2" w:rsidRPr="00040B17" w:rsidRDefault="001117B2" w:rsidP="00040B17">
      <w:pPr>
        <w:spacing w:line="480" w:lineRule="auto"/>
        <w:jc w:val="both"/>
        <w:rPr>
          <w:rFonts w:ascii="Times New Roman" w:hAnsi="Times New Roman" w:cs="Times New Roman"/>
          <w:color w:val="000000" w:themeColor="text1"/>
          <w:sz w:val="24"/>
          <w:szCs w:val="24"/>
        </w:rPr>
      </w:pPr>
      <w:r w:rsidRPr="00040B17">
        <w:rPr>
          <w:rFonts w:ascii="Times New Roman" w:hAnsi="Times New Roman" w:cs="Times New Roman"/>
          <w:color w:val="000000" w:themeColor="text1"/>
          <w:sz w:val="24"/>
          <w:szCs w:val="24"/>
        </w:rPr>
        <w:t xml:space="preserve">The bacterial strains such as </w:t>
      </w:r>
      <w:r w:rsidRPr="00040B17">
        <w:rPr>
          <w:rFonts w:ascii="Times New Roman" w:hAnsi="Times New Roman" w:cs="Times New Roman"/>
          <w:i/>
          <w:color w:val="000000" w:themeColor="text1"/>
          <w:sz w:val="24"/>
          <w:szCs w:val="24"/>
        </w:rPr>
        <w:t xml:space="preserve">Staphylococcus aureus, Bacillus subtilis </w:t>
      </w:r>
      <w:r w:rsidRPr="00040B17">
        <w:rPr>
          <w:rFonts w:ascii="Times New Roman" w:hAnsi="Times New Roman" w:cs="Times New Roman"/>
          <w:color w:val="000000" w:themeColor="text1"/>
          <w:sz w:val="24"/>
          <w:szCs w:val="24"/>
        </w:rPr>
        <w:t>and</w:t>
      </w:r>
      <w:r w:rsidRPr="00040B17">
        <w:rPr>
          <w:rFonts w:ascii="Times New Roman" w:hAnsi="Times New Roman" w:cs="Times New Roman"/>
          <w:i/>
          <w:color w:val="000000" w:themeColor="text1"/>
          <w:sz w:val="24"/>
          <w:szCs w:val="24"/>
        </w:rPr>
        <w:t xml:space="preserve"> Streptococcus pyogens</w:t>
      </w:r>
      <w:r w:rsidRPr="00040B17">
        <w:rPr>
          <w:rFonts w:ascii="Times New Roman" w:hAnsi="Times New Roman" w:cs="Times New Roman"/>
          <w:color w:val="000000" w:themeColor="text1"/>
          <w:sz w:val="24"/>
          <w:szCs w:val="24"/>
        </w:rPr>
        <w:t xml:space="preserve"> (Gram-positive) and </w:t>
      </w:r>
      <w:r w:rsidRPr="00040B17">
        <w:rPr>
          <w:rFonts w:ascii="Times New Roman" w:hAnsi="Times New Roman" w:cs="Times New Roman"/>
          <w:i/>
          <w:color w:val="000000" w:themeColor="text1"/>
          <w:sz w:val="24"/>
          <w:szCs w:val="24"/>
        </w:rPr>
        <w:t xml:space="preserve">Escherichia coli, Pseudomonas aeruginosa </w:t>
      </w:r>
      <w:r w:rsidRPr="00040B17">
        <w:rPr>
          <w:rFonts w:ascii="Times New Roman" w:hAnsi="Times New Roman" w:cs="Times New Roman"/>
          <w:color w:val="000000" w:themeColor="text1"/>
          <w:sz w:val="24"/>
          <w:szCs w:val="24"/>
        </w:rPr>
        <w:t>and</w:t>
      </w:r>
      <w:r w:rsidRPr="00040B17">
        <w:rPr>
          <w:rFonts w:ascii="Times New Roman" w:hAnsi="Times New Roman" w:cs="Times New Roman"/>
          <w:i/>
          <w:color w:val="000000" w:themeColor="text1"/>
          <w:sz w:val="24"/>
          <w:szCs w:val="24"/>
        </w:rPr>
        <w:t xml:space="preserve"> Salmonella typhii</w:t>
      </w:r>
      <w:r w:rsidRPr="00040B17">
        <w:rPr>
          <w:rFonts w:ascii="Times New Roman" w:hAnsi="Times New Roman" w:cs="Times New Roman"/>
          <w:color w:val="000000" w:themeColor="text1"/>
          <w:sz w:val="24"/>
          <w:szCs w:val="24"/>
        </w:rPr>
        <w:t xml:space="preserve"> (Gram-negative) used for the present study were received from the Department of Microbiology, Rajah Muthiah Medical College and Hospital, Annamalai University, Annamalainagar, Tamil Nadu, India. The extracts' minimum inhibitory concentrations (MIC) for antibacterial activity were determined using Eloff's microdilution bioassay (1998).</w:t>
      </w:r>
    </w:p>
    <w:p w14:paraId="0182F420" w14:textId="77777777" w:rsidR="001117B2" w:rsidRPr="00040B17" w:rsidRDefault="001117B2" w:rsidP="00040B17">
      <w:pPr>
        <w:spacing w:line="480" w:lineRule="auto"/>
        <w:jc w:val="both"/>
        <w:rPr>
          <w:rFonts w:ascii="Times New Roman" w:hAnsi="Times New Roman" w:cs="Times New Roman"/>
          <w:b/>
          <w:color w:val="000000" w:themeColor="text1"/>
          <w:sz w:val="24"/>
          <w:szCs w:val="24"/>
        </w:rPr>
      </w:pPr>
      <w:r w:rsidRPr="00040B17">
        <w:rPr>
          <w:rFonts w:ascii="Times New Roman" w:hAnsi="Times New Roman" w:cs="Times New Roman"/>
          <w:b/>
          <w:color w:val="000000" w:themeColor="text1"/>
          <w:sz w:val="24"/>
          <w:szCs w:val="24"/>
        </w:rPr>
        <w:lastRenderedPageBreak/>
        <w:t xml:space="preserve">Sample preparation for FTIR Spectroscopy  </w:t>
      </w:r>
    </w:p>
    <w:p w14:paraId="17DC3024" w14:textId="27092124" w:rsidR="00297A79" w:rsidRPr="00040B17" w:rsidRDefault="001117B2" w:rsidP="00040B17">
      <w:pPr>
        <w:spacing w:line="480" w:lineRule="auto"/>
        <w:jc w:val="both"/>
        <w:rPr>
          <w:rFonts w:ascii="Times New Roman" w:eastAsia="Calibri" w:hAnsi="Times New Roman" w:cs="Times New Roman"/>
          <w:color w:val="000000" w:themeColor="text1"/>
          <w:sz w:val="24"/>
          <w:szCs w:val="24"/>
        </w:rPr>
      </w:pPr>
      <w:r w:rsidRPr="00040B17">
        <w:rPr>
          <w:rFonts w:ascii="Times New Roman" w:eastAsia="Calibri" w:hAnsi="Times New Roman" w:cs="Times New Roman"/>
          <w:color w:val="000000" w:themeColor="text1"/>
          <w:sz w:val="24"/>
          <w:szCs w:val="24"/>
        </w:rPr>
        <w:t xml:space="preserve">The sample was prepared </w:t>
      </w:r>
      <w:r w:rsidR="0027502D" w:rsidRPr="00040B17">
        <w:rPr>
          <w:rFonts w:ascii="Times New Roman" w:eastAsia="Calibri" w:hAnsi="Times New Roman" w:cs="Times New Roman"/>
          <w:color w:val="000000" w:themeColor="text1"/>
          <w:sz w:val="24"/>
          <w:szCs w:val="24"/>
        </w:rPr>
        <w:t>following</w:t>
      </w:r>
      <w:r w:rsidRPr="00040B17">
        <w:rPr>
          <w:rFonts w:ascii="Times New Roman" w:eastAsia="Calibri" w:hAnsi="Times New Roman" w:cs="Times New Roman"/>
          <w:color w:val="000000" w:themeColor="text1"/>
          <w:sz w:val="24"/>
          <w:szCs w:val="24"/>
        </w:rPr>
        <w:t xml:space="preserve"> Naumann et al. (1991). Fourier Transform Infrared Spectrometer (Thermoscientifics-Nicolet 1S5)was used to record IR spectra in the mid-infrared band (4000–400 cm-</w:t>
      </w:r>
      <w:r w:rsidRPr="00040B17">
        <w:rPr>
          <w:rFonts w:ascii="Times New Roman" w:eastAsia="Calibri" w:hAnsi="Times New Roman" w:cs="Times New Roman"/>
          <w:color w:val="000000" w:themeColor="text1"/>
          <w:sz w:val="24"/>
          <w:szCs w:val="24"/>
          <w:vertAlign w:val="superscript"/>
        </w:rPr>
        <w:t>1</w:t>
      </w:r>
      <w:r w:rsidRPr="00040B17">
        <w:rPr>
          <w:rFonts w:ascii="Times New Roman" w:eastAsia="Calibri" w:hAnsi="Times New Roman" w:cs="Times New Roman"/>
          <w:color w:val="000000" w:themeColor="text1"/>
          <w:sz w:val="24"/>
          <w:szCs w:val="24"/>
        </w:rPr>
        <w:t>) at room temperature (24°C). A single spectrum was typically signal-averaged using 20 scans. Using the Hyper-IR tool, the absorbance of each spectrum was calculated from the reflectance-absorbance spectrum. Baseline correction was used to reduce the challenges caused by inevitable shifts.</w:t>
      </w:r>
    </w:p>
    <w:p w14:paraId="24493AF2" w14:textId="77777777" w:rsidR="00297A79" w:rsidRDefault="00297A79">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br w:type="page"/>
      </w:r>
    </w:p>
    <w:p w14:paraId="3DD852C4" w14:textId="6FF88E9A" w:rsidR="00DC651C" w:rsidRPr="00DC651C" w:rsidRDefault="00DC651C" w:rsidP="00DC651C">
      <w:pPr>
        <w:rPr>
          <w:rFonts w:ascii="Times New Roman" w:hAnsi="Times New Roman" w:cs="Times New Roman"/>
          <w:color w:val="000000" w:themeColor="text1"/>
          <w:sz w:val="24"/>
          <w:szCs w:val="24"/>
        </w:rPr>
      </w:pPr>
      <w:r w:rsidRPr="00DC651C">
        <w:rPr>
          <w:rFonts w:ascii="Times New Roman" w:hAnsi="Times New Roman" w:cs="Times New Roman"/>
          <w:b/>
          <w:color w:val="000000" w:themeColor="text1"/>
          <w:sz w:val="24"/>
          <w:szCs w:val="24"/>
        </w:rPr>
        <w:lastRenderedPageBreak/>
        <w:t xml:space="preserve">Table </w:t>
      </w:r>
      <w:r w:rsidR="0027502D">
        <w:rPr>
          <w:rFonts w:ascii="Times New Roman" w:hAnsi="Times New Roman" w:cs="Times New Roman"/>
          <w:b/>
          <w:color w:val="000000" w:themeColor="text1"/>
          <w:sz w:val="24"/>
          <w:szCs w:val="24"/>
        </w:rPr>
        <w:t>S1</w:t>
      </w:r>
      <w:r w:rsidRPr="00DC651C">
        <w:rPr>
          <w:rFonts w:ascii="Times New Roman" w:hAnsi="Times New Roman" w:cs="Times New Roman"/>
          <w:b/>
          <w:color w:val="000000" w:themeColor="text1"/>
          <w:sz w:val="24"/>
          <w:szCs w:val="24"/>
        </w:rPr>
        <w:t>:</w:t>
      </w:r>
      <w:r w:rsidRPr="00DC651C">
        <w:rPr>
          <w:rFonts w:ascii="Times New Roman" w:hAnsi="Times New Roman" w:cs="Times New Roman"/>
          <w:color w:val="000000" w:themeColor="text1"/>
          <w:sz w:val="24"/>
          <w:szCs w:val="24"/>
        </w:rPr>
        <w:t xml:space="preserve"> Phytochemical analyses of ethanolic extracts from</w:t>
      </w:r>
      <w:r w:rsidRPr="00DC651C">
        <w:rPr>
          <w:rFonts w:ascii="Times New Roman" w:hAnsi="Times New Roman" w:cs="Times New Roman"/>
          <w:i/>
          <w:color w:val="000000" w:themeColor="text1"/>
          <w:sz w:val="24"/>
          <w:szCs w:val="24"/>
        </w:rPr>
        <w:t>C. rutidoserma</w:t>
      </w:r>
      <w:r w:rsidRPr="00DC651C">
        <w:rPr>
          <w:rFonts w:ascii="Times New Roman" w:hAnsi="Times New Roman" w:cs="Times New Roman"/>
          <w:color w:val="000000" w:themeColor="text1"/>
          <w:sz w:val="24"/>
          <w:szCs w:val="24"/>
        </w:rPr>
        <w:t>.</w:t>
      </w:r>
    </w:p>
    <w:tbl>
      <w:tblPr>
        <w:tblStyle w:val="TableGrid"/>
        <w:tblW w:w="92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9"/>
        <w:gridCol w:w="925"/>
        <w:gridCol w:w="4889"/>
        <w:gridCol w:w="2559"/>
      </w:tblGrid>
      <w:tr w:rsidR="00DC651C" w:rsidRPr="00DC651C" w14:paraId="37D7CC1B" w14:textId="77777777" w:rsidTr="00AA3575">
        <w:trPr>
          <w:trHeight w:val="341"/>
        </w:trPr>
        <w:tc>
          <w:tcPr>
            <w:tcW w:w="0" w:type="auto"/>
            <w:vMerge w:val="restart"/>
            <w:tcBorders>
              <w:top w:val="single" w:sz="4" w:space="0" w:color="auto"/>
            </w:tcBorders>
          </w:tcPr>
          <w:p w14:paraId="2EEBFAA7"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Extract</w:t>
            </w:r>
          </w:p>
        </w:tc>
        <w:tc>
          <w:tcPr>
            <w:tcW w:w="0" w:type="auto"/>
            <w:vMerge w:val="restart"/>
            <w:tcBorders>
              <w:top w:val="single" w:sz="4" w:space="0" w:color="auto"/>
            </w:tcBorders>
          </w:tcPr>
          <w:p w14:paraId="2DFB9D27"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Yield (%)</w:t>
            </w:r>
          </w:p>
        </w:tc>
        <w:tc>
          <w:tcPr>
            <w:tcW w:w="0" w:type="auto"/>
            <w:gridSpan w:val="2"/>
            <w:tcBorders>
              <w:top w:val="single" w:sz="4" w:space="0" w:color="auto"/>
              <w:bottom w:val="single" w:sz="4" w:space="0" w:color="auto"/>
            </w:tcBorders>
          </w:tcPr>
          <w:p w14:paraId="28C8BBC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Qualitative Phytochemical screening</w:t>
            </w:r>
          </w:p>
        </w:tc>
      </w:tr>
      <w:tr w:rsidR="00DC651C" w:rsidRPr="00DC651C" w14:paraId="2AC540C5" w14:textId="77777777" w:rsidTr="00AA3575">
        <w:trPr>
          <w:trHeight w:val="711"/>
        </w:trPr>
        <w:tc>
          <w:tcPr>
            <w:tcW w:w="0" w:type="auto"/>
            <w:vMerge/>
            <w:tcBorders>
              <w:bottom w:val="single" w:sz="4" w:space="0" w:color="auto"/>
            </w:tcBorders>
          </w:tcPr>
          <w:p w14:paraId="6CBDFE59" w14:textId="77777777" w:rsidR="00DC651C" w:rsidRPr="00DC651C" w:rsidRDefault="00DC651C" w:rsidP="00AA3575">
            <w:pPr>
              <w:rPr>
                <w:rFonts w:ascii="Times New Roman" w:hAnsi="Times New Roman" w:cs="Times New Roman"/>
                <w:color w:val="000000" w:themeColor="text1"/>
                <w:sz w:val="24"/>
                <w:szCs w:val="24"/>
              </w:rPr>
            </w:pPr>
          </w:p>
        </w:tc>
        <w:tc>
          <w:tcPr>
            <w:tcW w:w="0" w:type="auto"/>
            <w:vMerge/>
            <w:tcBorders>
              <w:bottom w:val="single" w:sz="4" w:space="0" w:color="auto"/>
            </w:tcBorders>
          </w:tcPr>
          <w:p w14:paraId="4FD394AB" w14:textId="77777777" w:rsidR="00DC651C" w:rsidRPr="00DC651C" w:rsidRDefault="00DC651C" w:rsidP="00AA3575">
            <w:pPr>
              <w:rPr>
                <w:rFonts w:ascii="Times New Roman" w:hAnsi="Times New Roman" w:cs="Times New Roman"/>
                <w:color w:val="000000" w:themeColor="text1"/>
                <w:sz w:val="24"/>
                <w:szCs w:val="24"/>
              </w:rPr>
            </w:pPr>
          </w:p>
        </w:tc>
        <w:tc>
          <w:tcPr>
            <w:tcW w:w="0" w:type="auto"/>
            <w:tcBorders>
              <w:top w:val="single" w:sz="4" w:space="0" w:color="auto"/>
              <w:bottom w:val="single" w:sz="4" w:space="0" w:color="auto"/>
            </w:tcBorders>
          </w:tcPr>
          <w:p w14:paraId="02FB332D"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Present</w:t>
            </w:r>
          </w:p>
        </w:tc>
        <w:tc>
          <w:tcPr>
            <w:tcW w:w="0" w:type="auto"/>
            <w:tcBorders>
              <w:top w:val="single" w:sz="4" w:space="0" w:color="auto"/>
              <w:bottom w:val="single" w:sz="4" w:space="0" w:color="auto"/>
            </w:tcBorders>
          </w:tcPr>
          <w:p w14:paraId="79E6EAA9"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Absent</w:t>
            </w:r>
          </w:p>
        </w:tc>
      </w:tr>
      <w:tr w:rsidR="00DC651C" w:rsidRPr="00DC651C" w14:paraId="184901B9" w14:textId="77777777" w:rsidTr="00AA3575">
        <w:trPr>
          <w:trHeight w:val="1043"/>
        </w:trPr>
        <w:tc>
          <w:tcPr>
            <w:tcW w:w="0" w:type="auto"/>
            <w:tcBorders>
              <w:top w:val="single" w:sz="4" w:space="0" w:color="auto"/>
            </w:tcBorders>
          </w:tcPr>
          <w:p w14:paraId="6C529B3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Roots</w:t>
            </w:r>
          </w:p>
        </w:tc>
        <w:tc>
          <w:tcPr>
            <w:tcW w:w="0" w:type="auto"/>
            <w:tcBorders>
              <w:top w:val="single" w:sz="4" w:space="0" w:color="auto"/>
            </w:tcBorders>
          </w:tcPr>
          <w:p w14:paraId="381931B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1.16</w:t>
            </w:r>
          </w:p>
        </w:tc>
        <w:tc>
          <w:tcPr>
            <w:tcW w:w="0" w:type="auto"/>
            <w:tcBorders>
              <w:top w:val="single" w:sz="4" w:space="0" w:color="auto"/>
            </w:tcBorders>
          </w:tcPr>
          <w:p w14:paraId="399453CE"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alkaloids, coumarins, flavonoids, phenols, sugars, proteins, saponins, sterols, Tannins and terpenoids</w:t>
            </w:r>
          </w:p>
        </w:tc>
        <w:tc>
          <w:tcPr>
            <w:tcW w:w="0" w:type="auto"/>
            <w:tcBorders>
              <w:top w:val="single" w:sz="4" w:space="0" w:color="auto"/>
            </w:tcBorders>
          </w:tcPr>
          <w:p w14:paraId="0A5FCD0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glycosides, free amino acids and quinones,</w:t>
            </w:r>
          </w:p>
        </w:tc>
      </w:tr>
      <w:tr w:rsidR="00DC651C" w:rsidRPr="00DC651C" w14:paraId="6E9E89AE" w14:textId="77777777" w:rsidTr="00AA3575">
        <w:trPr>
          <w:trHeight w:val="1043"/>
        </w:trPr>
        <w:tc>
          <w:tcPr>
            <w:tcW w:w="0" w:type="auto"/>
          </w:tcPr>
          <w:p w14:paraId="43D3E5EE"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Stems</w:t>
            </w:r>
          </w:p>
        </w:tc>
        <w:tc>
          <w:tcPr>
            <w:tcW w:w="0" w:type="auto"/>
          </w:tcPr>
          <w:p w14:paraId="3328BF7E"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2.64</w:t>
            </w:r>
          </w:p>
        </w:tc>
        <w:tc>
          <w:tcPr>
            <w:tcW w:w="0" w:type="auto"/>
          </w:tcPr>
          <w:p w14:paraId="3D470B0F"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alkaloids, glycosides, flavonoids, phenols, sugars, proteins, saponins, sterols, Tannins and terpenoids</w:t>
            </w:r>
          </w:p>
        </w:tc>
        <w:tc>
          <w:tcPr>
            <w:tcW w:w="0" w:type="auto"/>
          </w:tcPr>
          <w:p w14:paraId="6980007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coumarins, free amino acids and quinones,</w:t>
            </w:r>
          </w:p>
        </w:tc>
      </w:tr>
      <w:tr w:rsidR="00DC651C" w:rsidRPr="00DC651C" w14:paraId="4309268F" w14:textId="77777777" w:rsidTr="00AA3575">
        <w:trPr>
          <w:trHeight w:val="1053"/>
        </w:trPr>
        <w:tc>
          <w:tcPr>
            <w:tcW w:w="0" w:type="auto"/>
          </w:tcPr>
          <w:p w14:paraId="5314B7BE"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Leaves</w:t>
            </w:r>
          </w:p>
        </w:tc>
        <w:tc>
          <w:tcPr>
            <w:tcW w:w="0" w:type="auto"/>
          </w:tcPr>
          <w:p w14:paraId="5CD9E4A4"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3.89</w:t>
            </w:r>
          </w:p>
        </w:tc>
        <w:tc>
          <w:tcPr>
            <w:tcW w:w="0" w:type="auto"/>
          </w:tcPr>
          <w:p w14:paraId="2E2541A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alkaloids, glycosides, flavonoids, phenols, sugars, proteins, saponins, sterols, Tannins and terpenoids</w:t>
            </w:r>
          </w:p>
        </w:tc>
        <w:tc>
          <w:tcPr>
            <w:tcW w:w="0" w:type="auto"/>
          </w:tcPr>
          <w:p w14:paraId="66541727"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coumarins, free amino acids and quinones,</w:t>
            </w:r>
          </w:p>
        </w:tc>
      </w:tr>
      <w:tr w:rsidR="00DC651C" w:rsidRPr="00DC651C" w14:paraId="5BDD96F3" w14:textId="77777777" w:rsidTr="00AA3575">
        <w:trPr>
          <w:trHeight w:val="1043"/>
        </w:trPr>
        <w:tc>
          <w:tcPr>
            <w:tcW w:w="0" w:type="auto"/>
            <w:tcBorders>
              <w:bottom w:val="single" w:sz="4" w:space="0" w:color="auto"/>
            </w:tcBorders>
          </w:tcPr>
          <w:p w14:paraId="51190B4C"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Seeds</w:t>
            </w:r>
          </w:p>
        </w:tc>
        <w:tc>
          <w:tcPr>
            <w:tcW w:w="0" w:type="auto"/>
            <w:tcBorders>
              <w:bottom w:val="single" w:sz="4" w:space="0" w:color="auto"/>
            </w:tcBorders>
          </w:tcPr>
          <w:p w14:paraId="48D34A29"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2.94</w:t>
            </w:r>
          </w:p>
        </w:tc>
        <w:tc>
          <w:tcPr>
            <w:tcW w:w="0" w:type="auto"/>
            <w:tcBorders>
              <w:bottom w:val="single" w:sz="4" w:space="0" w:color="auto"/>
            </w:tcBorders>
          </w:tcPr>
          <w:p w14:paraId="6CD0E1C8"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alkaloids, glycosides, flavonoids, phenols, sugars, proteins, saponins, sterols, Tannins and terpenoids</w:t>
            </w:r>
          </w:p>
        </w:tc>
        <w:tc>
          <w:tcPr>
            <w:tcW w:w="0" w:type="auto"/>
            <w:tcBorders>
              <w:bottom w:val="single" w:sz="4" w:space="0" w:color="auto"/>
            </w:tcBorders>
          </w:tcPr>
          <w:p w14:paraId="24729C29"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coumarins, free amino acids and quinones,</w:t>
            </w:r>
          </w:p>
        </w:tc>
      </w:tr>
    </w:tbl>
    <w:p w14:paraId="5EF4E21C" w14:textId="77777777" w:rsidR="00DC651C" w:rsidRPr="00DC651C" w:rsidRDefault="00DC651C" w:rsidP="00DC651C">
      <w:pPr>
        <w:rPr>
          <w:rFonts w:ascii="Times New Roman" w:hAnsi="Times New Roman" w:cs="Times New Roman"/>
          <w:color w:val="000000" w:themeColor="text1"/>
          <w:sz w:val="24"/>
          <w:szCs w:val="24"/>
        </w:rPr>
      </w:pPr>
    </w:p>
    <w:p w14:paraId="73933358" w14:textId="77777777" w:rsidR="00DC651C" w:rsidRPr="00DC651C" w:rsidRDefault="00DC651C" w:rsidP="00DC651C">
      <w:pPr>
        <w:rPr>
          <w:rFonts w:ascii="Times New Roman" w:hAnsi="Times New Roman" w:cs="Times New Roman"/>
          <w:color w:val="000000" w:themeColor="text1"/>
          <w:sz w:val="24"/>
          <w:szCs w:val="24"/>
        </w:rPr>
        <w:sectPr w:rsidR="00DC651C" w:rsidRPr="00DC651C" w:rsidSect="00D45F9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7125BBBD" w14:textId="231B7AAD" w:rsidR="00DC651C" w:rsidRPr="00DC651C" w:rsidRDefault="00DC651C" w:rsidP="00DC651C">
      <w:pPr>
        <w:rPr>
          <w:rFonts w:ascii="Times New Roman" w:hAnsi="Times New Roman" w:cs="Times New Roman"/>
          <w:i/>
          <w:color w:val="000000" w:themeColor="text1"/>
          <w:sz w:val="24"/>
          <w:szCs w:val="24"/>
        </w:rPr>
      </w:pPr>
      <w:r w:rsidRPr="00DC651C">
        <w:rPr>
          <w:rFonts w:ascii="Times New Roman" w:hAnsi="Times New Roman" w:cs="Times New Roman"/>
          <w:b/>
          <w:color w:val="000000" w:themeColor="text1"/>
          <w:sz w:val="24"/>
          <w:szCs w:val="24"/>
        </w:rPr>
        <w:lastRenderedPageBreak/>
        <w:t xml:space="preserve">Table </w:t>
      </w:r>
      <w:r w:rsidR="0027502D">
        <w:rPr>
          <w:rFonts w:ascii="Times New Roman" w:hAnsi="Times New Roman" w:cs="Times New Roman"/>
          <w:b/>
          <w:color w:val="000000" w:themeColor="text1"/>
          <w:sz w:val="24"/>
          <w:szCs w:val="24"/>
        </w:rPr>
        <w:t>S2</w:t>
      </w:r>
      <w:r w:rsidRPr="00DC651C">
        <w:rPr>
          <w:rFonts w:ascii="Times New Roman" w:hAnsi="Times New Roman" w:cs="Times New Roman"/>
          <w:b/>
          <w:color w:val="000000" w:themeColor="text1"/>
          <w:sz w:val="24"/>
          <w:szCs w:val="24"/>
        </w:rPr>
        <w:t xml:space="preserve">. </w:t>
      </w:r>
      <w:r w:rsidRPr="00DC651C">
        <w:rPr>
          <w:rFonts w:ascii="Times New Roman" w:hAnsi="Times New Roman" w:cs="Times New Roman"/>
          <w:color w:val="000000" w:themeColor="text1"/>
          <w:sz w:val="24"/>
          <w:szCs w:val="24"/>
        </w:rPr>
        <w:t xml:space="preserve">General band assignments of the Fourier Transform Infrared Spectroscopy (FTIR) Spectra of ethanolic extracts from </w:t>
      </w:r>
      <w:r w:rsidRPr="00DC651C">
        <w:rPr>
          <w:rFonts w:ascii="Times New Roman" w:hAnsi="Times New Roman" w:cs="Times New Roman"/>
          <w:i/>
          <w:color w:val="000000" w:themeColor="text1"/>
          <w:sz w:val="24"/>
          <w:szCs w:val="24"/>
        </w:rPr>
        <w:t>C. rutidosperma.</w:t>
      </w:r>
    </w:p>
    <w:tbl>
      <w:tblPr>
        <w:tblStyle w:val="TableGrid"/>
        <w:tblW w:w="98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958"/>
        <w:gridCol w:w="1069"/>
        <w:gridCol w:w="926"/>
        <w:gridCol w:w="5849"/>
      </w:tblGrid>
      <w:tr w:rsidR="00DC651C" w:rsidRPr="00DC651C" w14:paraId="557A2BB3" w14:textId="77777777" w:rsidTr="00AA3575">
        <w:trPr>
          <w:trHeight w:val="339"/>
          <w:jc w:val="center"/>
        </w:trPr>
        <w:tc>
          <w:tcPr>
            <w:tcW w:w="3736" w:type="dxa"/>
            <w:gridSpan w:val="4"/>
            <w:tcBorders>
              <w:top w:val="single" w:sz="4" w:space="0" w:color="auto"/>
              <w:bottom w:val="single" w:sz="4" w:space="0" w:color="auto"/>
            </w:tcBorders>
          </w:tcPr>
          <w:p w14:paraId="4FA03CC4"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Peak position (cm</w:t>
            </w:r>
            <w:r w:rsidRPr="00DC651C">
              <w:rPr>
                <w:rFonts w:ascii="Times New Roman" w:hAnsi="Times New Roman" w:cs="Times New Roman"/>
                <w:color w:val="000000" w:themeColor="text1"/>
                <w:sz w:val="24"/>
                <w:szCs w:val="24"/>
                <w:vertAlign w:val="superscript"/>
              </w:rPr>
              <w:t>-1</w:t>
            </w:r>
            <w:r w:rsidRPr="00DC651C">
              <w:rPr>
                <w:rFonts w:ascii="Times New Roman" w:hAnsi="Times New Roman" w:cs="Times New Roman"/>
                <w:color w:val="000000" w:themeColor="text1"/>
                <w:sz w:val="24"/>
                <w:szCs w:val="24"/>
              </w:rPr>
              <w:t>)</w:t>
            </w:r>
          </w:p>
        </w:tc>
        <w:tc>
          <w:tcPr>
            <w:tcW w:w="0" w:type="auto"/>
            <w:vMerge w:val="restart"/>
            <w:tcBorders>
              <w:top w:val="single" w:sz="4" w:space="0" w:color="auto"/>
            </w:tcBorders>
          </w:tcPr>
          <w:p w14:paraId="514815D3"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Tentative Assignments</w:t>
            </w:r>
          </w:p>
        </w:tc>
      </w:tr>
      <w:tr w:rsidR="00DC651C" w:rsidRPr="00DC651C" w14:paraId="34A40AD3" w14:textId="77777777" w:rsidTr="00AA3575">
        <w:trPr>
          <w:trHeight w:val="339"/>
          <w:jc w:val="center"/>
        </w:trPr>
        <w:tc>
          <w:tcPr>
            <w:tcW w:w="915" w:type="dxa"/>
            <w:tcBorders>
              <w:top w:val="single" w:sz="4" w:space="0" w:color="auto"/>
              <w:bottom w:val="single" w:sz="4" w:space="0" w:color="auto"/>
            </w:tcBorders>
          </w:tcPr>
          <w:p w14:paraId="4AEB490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Roots</w:t>
            </w:r>
          </w:p>
        </w:tc>
        <w:tc>
          <w:tcPr>
            <w:tcW w:w="0" w:type="auto"/>
            <w:tcBorders>
              <w:top w:val="single" w:sz="4" w:space="0" w:color="auto"/>
              <w:bottom w:val="single" w:sz="4" w:space="0" w:color="auto"/>
            </w:tcBorders>
          </w:tcPr>
          <w:p w14:paraId="3F5D1A3C"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Stems</w:t>
            </w:r>
          </w:p>
        </w:tc>
        <w:tc>
          <w:tcPr>
            <w:tcW w:w="0" w:type="auto"/>
            <w:tcBorders>
              <w:top w:val="single" w:sz="4" w:space="0" w:color="auto"/>
              <w:bottom w:val="single" w:sz="4" w:space="0" w:color="auto"/>
            </w:tcBorders>
          </w:tcPr>
          <w:p w14:paraId="71C44C5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Leaves</w:t>
            </w:r>
          </w:p>
        </w:tc>
        <w:tc>
          <w:tcPr>
            <w:tcW w:w="0" w:type="auto"/>
            <w:tcBorders>
              <w:top w:val="single" w:sz="4" w:space="0" w:color="auto"/>
              <w:bottom w:val="single" w:sz="4" w:space="0" w:color="auto"/>
            </w:tcBorders>
          </w:tcPr>
          <w:p w14:paraId="12B13F3C"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Seeds</w:t>
            </w:r>
          </w:p>
        </w:tc>
        <w:tc>
          <w:tcPr>
            <w:tcW w:w="0" w:type="auto"/>
            <w:vMerge/>
            <w:tcBorders>
              <w:bottom w:val="single" w:sz="4" w:space="0" w:color="auto"/>
            </w:tcBorders>
          </w:tcPr>
          <w:p w14:paraId="34D39912" w14:textId="77777777" w:rsidR="00DC651C" w:rsidRPr="00DC651C" w:rsidRDefault="00DC651C" w:rsidP="00AA3575">
            <w:pPr>
              <w:rPr>
                <w:rFonts w:ascii="Times New Roman" w:hAnsi="Times New Roman" w:cs="Times New Roman"/>
                <w:color w:val="000000" w:themeColor="text1"/>
                <w:sz w:val="24"/>
                <w:szCs w:val="24"/>
              </w:rPr>
            </w:pPr>
          </w:p>
        </w:tc>
      </w:tr>
      <w:tr w:rsidR="00DC651C" w:rsidRPr="00DC651C" w14:paraId="053E961F" w14:textId="77777777" w:rsidTr="00AA3575">
        <w:trPr>
          <w:trHeight w:val="339"/>
          <w:jc w:val="center"/>
        </w:trPr>
        <w:tc>
          <w:tcPr>
            <w:tcW w:w="915" w:type="dxa"/>
            <w:tcBorders>
              <w:top w:val="single" w:sz="4" w:space="0" w:color="auto"/>
            </w:tcBorders>
          </w:tcPr>
          <w:p w14:paraId="14401ED7"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3159</w:t>
            </w:r>
          </w:p>
        </w:tc>
        <w:tc>
          <w:tcPr>
            <w:tcW w:w="0" w:type="auto"/>
            <w:tcBorders>
              <w:top w:val="single" w:sz="4" w:space="0" w:color="auto"/>
            </w:tcBorders>
          </w:tcPr>
          <w:p w14:paraId="7AEBDDF1"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3447</w:t>
            </w:r>
          </w:p>
        </w:tc>
        <w:tc>
          <w:tcPr>
            <w:tcW w:w="0" w:type="auto"/>
            <w:tcBorders>
              <w:top w:val="single" w:sz="4" w:space="0" w:color="auto"/>
            </w:tcBorders>
          </w:tcPr>
          <w:p w14:paraId="45AE5D76"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3420</w:t>
            </w:r>
          </w:p>
        </w:tc>
        <w:tc>
          <w:tcPr>
            <w:tcW w:w="0" w:type="auto"/>
            <w:tcBorders>
              <w:top w:val="single" w:sz="4" w:space="0" w:color="auto"/>
            </w:tcBorders>
          </w:tcPr>
          <w:p w14:paraId="4D445BE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3421</w:t>
            </w:r>
          </w:p>
        </w:tc>
        <w:tc>
          <w:tcPr>
            <w:tcW w:w="0" w:type="auto"/>
            <w:tcBorders>
              <w:top w:val="single" w:sz="4" w:space="0" w:color="auto"/>
            </w:tcBorders>
          </w:tcPr>
          <w:p w14:paraId="52864CD6"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 xml:space="preserve">O-H stretching </w:t>
            </w:r>
          </w:p>
        </w:tc>
      </w:tr>
      <w:tr w:rsidR="00DC651C" w:rsidRPr="00DC651C" w14:paraId="6F39F3C2" w14:textId="77777777" w:rsidTr="00AA3575">
        <w:trPr>
          <w:trHeight w:val="358"/>
          <w:jc w:val="center"/>
        </w:trPr>
        <w:tc>
          <w:tcPr>
            <w:tcW w:w="915" w:type="dxa"/>
          </w:tcPr>
          <w:p w14:paraId="4D11D7B6"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2924</w:t>
            </w:r>
          </w:p>
        </w:tc>
        <w:tc>
          <w:tcPr>
            <w:tcW w:w="0" w:type="auto"/>
          </w:tcPr>
          <w:p w14:paraId="408D40A7"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2925</w:t>
            </w:r>
          </w:p>
        </w:tc>
        <w:tc>
          <w:tcPr>
            <w:tcW w:w="0" w:type="auto"/>
          </w:tcPr>
          <w:p w14:paraId="05F610DA"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2921</w:t>
            </w:r>
          </w:p>
        </w:tc>
        <w:tc>
          <w:tcPr>
            <w:tcW w:w="0" w:type="auto"/>
          </w:tcPr>
          <w:p w14:paraId="4BF127ED"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7D9599CB"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Stretching C-H of CH</w:t>
            </w:r>
            <w:r w:rsidRPr="00DC651C">
              <w:rPr>
                <w:rFonts w:ascii="Times New Roman" w:hAnsi="Times New Roman" w:cs="Times New Roman"/>
                <w:color w:val="000000" w:themeColor="text1"/>
                <w:sz w:val="24"/>
                <w:szCs w:val="24"/>
                <w:vertAlign w:val="subscript"/>
              </w:rPr>
              <w:t>2</w:t>
            </w:r>
            <w:r w:rsidRPr="00DC651C">
              <w:rPr>
                <w:rFonts w:ascii="Times New Roman" w:hAnsi="Times New Roman" w:cs="Times New Roman"/>
                <w:color w:val="000000" w:themeColor="text1"/>
                <w:sz w:val="24"/>
                <w:szCs w:val="24"/>
              </w:rPr>
              <w:t xml:space="preserve"> and CH aromatic and aliphatic</w:t>
            </w:r>
          </w:p>
        </w:tc>
      </w:tr>
      <w:tr w:rsidR="00DC651C" w:rsidRPr="00DC651C" w14:paraId="7C448F10" w14:textId="77777777" w:rsidTr="00AA3575">
        <w:trPr>
          <w:trHeight w:val="339"/>
          <w:jc w:val="center"/>
        </w:trPr>
        <w:tc>
          <w:tcPr>
            <w:tcW w:w="915" w:type="dxa"/>
          </w:tcPr>
          <w:p w14:paraId="1D4952CA"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1711</w:t>
            </w:r>
          </w:p>
        </w:tc>
        <w:tc>
          <w:tcPr>
            <w:tcW w:w="0" w:type="auto"/>
          </w:tcPr>
          <w:p w14:paraId="20F9C5DC"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29283E6C"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07EF833D"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1710</w:t>
            </w:r>
          </w:p>
        </w:tc>
        <w:tc>
          <w:tcPr>
            <w:tcW w:w="0" w:type="auto"/>
          </w:tcPr>
          <w:p w14:paraId="0A8A7203"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 = O stretching in ester</w:t>
            </w:r>
          </w:p>
        </w:tc>
      </w:tr>
      <w:tr w:rsidR="00DC651C" w:rsidRPr="00DC651C" w14:paraId="1E3EF256" w14:textId="77777777" w:rsidTr="00AA3575">
        <w:trPr>
          <w:trHeight w:val="339"/>
          <w:jc w:val="center"/>
        </w:trPr>
        <w:tc>
          <w:tcPr>
            <w:tcW w:w="915" w:type="dxa"/>
          </w:tcPr>
          <w:p w14:paraId="6D315EEF"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1A13D610"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1636</w:t>
            </w:r>
          </w:p>
        </w:tc>
        <w:tc>
          <w:tcPr>
            <w:tcW w:w="0" w:type="auto"/>
          </w:tcPr>
          <w:p w14:paraId="0607D23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1644</w:t>
            </w:r>
          </w:p>
        </w:tc>
        <w:tc>
          <w:tcPr>
            <w:tcW w:w="0" w:type="auto"/>
          </w:tcPr>
          <w:p w14:paraId="75178C59"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2370176A"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 = C stretching aromatic ring</w:t>
            </w:r>
          </w:p>
        </w:tc>
      </w:tr>
      <w:tr w:rsidR="00DC651C" w:rsidRPr="00DC651C" w14:paraId="717323D6" w14:textId="77777777" w:rsidTr="00AA3575">
        <w:trPr>
          <w:trHeight w:val="358"/>
          <w:jc w:val="center"/>
        </w:trPr>
        <w:tc>
          <w:tcPr>
            <w:tcW w:w="915" w:type="dxa"/>
          </w:tcPr>
          <w:p w14:paraId="6FE382E3"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1509</w:t>
            </w:r>
          </w:p>
        </w:tc>
        <w:tc>
          <w:tcPr>
            <w:tcW w:w="0" w:type="auto"/>
          </w:tcPr>
          <w:p w14:paraId="062140C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1509</w:t>
            </w:r>
          </w:p>
        </w:tc>
        <w:tc>
          <w:tcPr>
            <w:tcW w:w="0" w:type="auto"/>
          </w:tcPr>
          <w:p w14:paraId="44BE743F"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1509</w:t>
            </w:r>
          </w:p>
        </w:tc>
        <w:tc>
          <w:tcPr>
            <w:tcW w:w="0" w:type="auto"/>
          </w:tcPr>
          <w:p w14:paraId="597E74F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1510</w:t>
            </w:r>
          </w:p>
        </w:tc>
        <w:tc>
          <w:tcPr>
            <w:tcW w:w="0" w:type="auto"/>
          </w:tcPr>
          <w:p w14:paraId="63593C8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 – C stretching of aromatic ring</w:t>
            </w:r>
          </w:p>
        </w:tc>
      </w:tr>
      <w:tr w:rsidR="00DC651C" w:rsidRPr="00DC651C" w14:paraId="5564AFFD" w14:textId="77777777" w:rsidTr="00AA3575">
        <w:trPr>
          <w:trHeight w:val="339"/>
          <w:jc w:val="center"/>
        </w:trPr>
        <w:tc>
          <w:tcPr>
            <w:tcW w:w="915" w:type="dxa"/>
          </w:tcPr>
          <w:p w14:paraId="6932B60F"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1384</w:t>
            </w:r>
          </w:p>
        </w:tc>
        <w:tc>
          <w:tcPr>
            <w:tcW w:w="0" w:type="auto"/>
          </w:tcPr>
          <w:p w14:paraId="597F5E40"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1383</w:t>
            </w:r>
          </w:p>
        </w:tc>
        <w:tc>
          <w:tcPr>
            <w:tcW w:w="0" w:type="auto"/>
          </w:tcPr>
          <w:p w14:paraId="064FA04F"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1384</w:t>
            </w:r>
          </w:p>
        </w:tc>
        <w:tc>
          <w:tcPr>
            <w:tcW w:w="0" w:type="auto"/>
          </w:tcPr>
          <w:p w14:paraId="37C5AF1F"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1384</w:t>
            </w:r>
          </w:p>
        </w:tc>
        <w:tc>
          <w:tcPr>
            <w:tcW w:w="0" w:type="auto"/>
          </w:tcPr>
          <w:p w14:paraId="35DC097C"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C-H asymmetric bending deformation in -CH</w:t>
            </w:r>
            <w:r w:rsidRPr="00DC651C">
              <w:rPr>
                <w:rFonts w:ascii="Times New Roman" w:hAnsi="Times New Roman" w:cs="Times New Roman"/>
                <w:color w:val="000000" w:themeColor="text1"/>
                <w:sz w:val="24"/>
                <w:szCs w:val="24"/>
                <w:vertAlign w:val="subscript"/>
              </w:rPr>
              <w:t>3</w:t>
            </w:r>
            <w:r w:rsidRPr="00DC651C">
              <w:rPr>
                <w:rFonts w:ascii="Times New Roman" w:hAnsi="Times New Roman" w:cs="Times New Roman"/>
                <w:color w:val="000000" w:themeColor="text1"/>
                <w:sz w:val="24"/>
                <w:szCs w:val="24"/>
              </w:rPr>
              <w:t>; C-H</w:t>
            </w:r>
          </w:p>
        </w:tc>
      </w:tr>
      <w:tr w:rsidR="00DC651C" w:rsidRPr="00DC651C" w14:paraId="2D890162" w14:textId="77777777" w:rsidTr="00AA3575">
        <w:trPr>
          <w:trHeight w:val="358"/>
          <w:jc w:val="center"/>
        </w:trPr>
        <w:tc>
          <w:tcPr>
            <w:tcW w:w="915" w:type="dxa"/>
          </w:tcPr>
          <w:p w14:paraId="12C063DD"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1248</w:t>
            </w:r>
          </w:p>
        </w:tc>
        <w:tc>
          <w:tcPr>
            <w:tcW w:w="0" w:type="auto"/>
          </w:tcPr>
          <w:p w14:paraId="79C3DEC9"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1248</w:t>
            </w:r>
          </w:p>
        </w:tc>
        <w:tc>
          <w:tcPr>
            <w:tcW w:w="0" w:type="auto"/>
          </w:tcPr>
          <w:p w14:paraId="6A46CC7D"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1248</w:t>
            </w:r>
          </w:p>
        </w:tc>
        <w:tc>
          <w:tcPr>
            <w:tcW w:w="0" w:type="auto"/>
          </w:tcPr>
          <w:p w14:paraId="391FC0D6"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1248</w:t>
            </w:r>
          </w:p>
        </w:tc>
        <w:tc>
          <w:tcPr>
            <w:tcW w:w="0" w:type="auto"/>
          </w:tcPr>
          <w:p w14:paraId="12359B06"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C-H bend in aromatic</w:t>
            </w:r>
          </w:p>
        </w:tc>
      </w:tr>
      <w:tr w:rsidR="00DC651C" w:rsidRPr="00DC651C" w14:paraId="468E43D3" w14:textId="77777777" w:rsidTr="00AA3575">
        <w:trPr>
          <w:trHeight w:val="339"/>
          <w:jc w:val="center"/>
        </w:trPr>
        <w:tc>
          <w:tcPr>
            <w:tcW w:w="915" w:type="dxa"/>
          </w:tcPr>
          <w:p w14:paraId="7C06DC06"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1183</w:t>
            </w:r>
          </w:p>
        </w:tc>
        <w:tc>
          <w:tcPr>
            <w:tcW w:w="0" w:type="auto"/>
          </w:tcPr>
          <w:p w14:paraId="2E33C0B3"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1182</w:t>
            </w:r>
          </w:p>
        </w:tc>
        <w:tc>
          <w:tcPr>
            <w:tcW w:w="0" w:type="auto"/>
          </w:tcPr>
          <w:p w14:paraId="127469DF"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170E577F"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1C3F618E"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C-O stretching in CH</w:t>
            </w:r>
            <w:r w:rsidRPr="00DC651C">
              <w:rPr>
                <w:rFonts w:ascii="Times New Roman" w:hAnsi="Times New Roman" w:cs="Times New Roman"/>
                <w:color w:val="000000" w:themeColor="text1"/>
                <w:sz w:val="24"/>
                <w:szCs w:val="24"/>
                <w:vertAlign w:val="subscript"/>
              </w:rPr>
              <w:t>2</w:t>
            </w:r>
            <w:r w:rsidRPr="00DC651C">
              <w:rPr>
                <w:rFonts w:ascii="Times New Roman" w:hAnsi="Times New Roman" w:cs="Times New Roman"/>
                <w:color w:val="000000" w:themeColor="text1"/>
                <w:sz w:val="24"/>
                <w:szCs w:val="24"/>
              </w:rPr>
              <w:t>OH</w:t>
            </w:r>
          </w:p>
        </w:tc>
      </w:tr>
      <w:tr w:rsidR="00DC651C" w:rsidRPr="00DC651C" w14:paraId="7B612221" w14:textId="77777777" w:rsidTr="00AA3575">
        <w:trPr>
          <w:trHeight w:val="339"/>
          <w:jc w:val="center"/>
        </w:trPr>
        <w:tc>
          <w:tcPr>
            <w:tcW w:w="915" w:type="dxa"/>
          </w:tcPr>
          <w:p w14:paraId="5ACCDB2E"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00015246"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1114</w:t>
            </w:r>
          </w:p>
        </w:tc>
        <w:tc>
          <w:tcPr>
            <w:tcW w:w="0" w:type="auto"/>
          </w:tcPr>
          <w:p w14:paraId="4DBE03BF"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0DA298B3"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31C8B1FE"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C-O-C asymmetric stretching vibration; ether linkage</w:t>
            </w:r>
          </w:p>
        </w:tc>
      </w:tr>
      <w:tr w:rsidR="00DC651C" w:rsidRPr="00DC651C" w14:paraId="61B97D91" w14:textId="77777777" w:rsidTr="00AA3575">
        <w:trPr>
          <w:trHeight w:val="358"/>
          <w:jc w:val="center"/>
        </w:trPr>
        <w:tc>
          <w:tcPr>
            <w:tcW w:w="915" w:type="dxa"/>
          </w:tcPr>
          <w:p w14:paraId="5867496B"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1044</w:t>
            </w:r>
          </w:p>
        </w:tc>
        <w:tc>
          <w:tcPr>
            <w:tcW w:w="0" w:type="auto"/>
          </w:tcPr>
          <w:p w14:paraId="0D786A69"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1044</w:t>
            </w:r>
          </w:p>
        </w:tc>
        <w:tc>
          <w:tcPr>
            <w:tcW w:w="0" w:type="auto"/>
          </w:tcPr>
          <w:p w14:paraId="5F96FE2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1042</w:t>
            </w:r>
          </w:p>
        </w:tc>
        <w:tc>
          <w:tcPr>
            <w:tcW w:w="0" w:type="auto"/>
          </w:tcPr>
          <w:p w14:paraId="3EA03CD6"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1044</w:t>
            </w:r>
          </w:p>
        </w:tc>
        <w:tc>
          <w:tcPr>
            <w:tcW w:w="0" w:type="auto"/>
          </w:tcPr>
          <w:p w14:paraId="244AB97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Stretching C-O-C of ethers</w:t>
            </w:r>
          </w:p>
        </w:tc>
      </w:tr>
      <w:tr w:rsidR="00DC651C" w:rsidRPr="00DC651C" w14:paraId="5EC01AB4" w14:textId="77777777" w:rsidTr="00AA3575">
        <w:trPr>
          <w:trHeight w:val="339"/>
          <w:jc w:val="center"/>
        </w:trPr>
        <w:tc>
          <w:tcPr>
            <w:tcW w:w="915" w:type="dxa"/>
          </w:tcPr>
          <w:p w14:paraId="24130921"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831</w:t>
            </w:r>
          </w:p>
        </w:tc>
        <w:tc>
          <w:tcPr>
            <w:tcW w:w="0" w:type="auto"/>
          </w:tcPr>
          <w:p w14:paraId="09520E95"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830</w:t>
            </w:r>
          </w:p>
        </w:tc>
        <w:tc>
          <w:tcPr>
            <w:tcW w:w="0" w:type="auto"/>
          </w:tcPr>
          <w:p w14:paraId="2C062A9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829</w:t>
            </w:r>
          </w:p>
        </w:tc>
        <w:tc>
          <w:tcPr>
            <w:tcW w:w="0" w:type="auto"/>
          </w:tcPr>
          <w:p w14:paraId="039BDE9C" w14:textId="77777777" w:rsidR="00DC651C" w:rsidRPr="00DC651C" w:rsidRDefault="00DC651C" w:rsidP="00AA3575">
            <w:pPr>
              <w:rPr>
                <w:rFonts w:ascii="Times New Roman" w:hAnsi="Times New Roman" w:cs="Times New Roman"/>
                <w:color w:val="000000" w:themeColor="text1"/>
                <w:sz w:val="24"/>
                <w:szCs w:val="24"/>
              </w:rPr>
            </w:pPr>
          </w:p>
        </w:tc>
        <w:tc>
          <w:tcPr>
            <w:tcW w:w="0" w:type="auto"/>
          </w:tcPr>
          <w:p w14:paraId="0DB7C9A9"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C-O-C Stretching</w:t>
            </w:r>
          </w:p>
        </w:tc>
      </w:tr>
      <w:tr w:rsidR="00DC651C" w:rsidRPr="00DC651C" w14:paraId="0721169D" w14:textId="77777777" w:rsidTr="00AA3575">
        <w:trPr>
          <w:trHeight w:val="339"/>
          <w:jc w:val="center"/>
        </w:trPr>
        <w:tc>
          <w:tcPr>
            <w:tcW w:w="915" w:type="dxa"/>
            <w:tcBorders>
              <w:bottom w:val="single" w:sz="4" w:space="0" w:color="auto"/>
            </w:tcBorders>
          </w:tcPr>
          <w:p w14:paraId="0ACD6215" w14:textId="77777777" w:rsidR="00DC651C" w:rsidRPr="00DC651C" w:rsidRDefault="00DC651C" w:rsidP="00AA3575">
            <w:pPr>
              <w:rPr>
                <w:rFonts w:ascii="Times New Roman" w:hAnsi="Times New Roman" w:cs="Times New Roman"/>
                <w:color w:val="000000" w:themeColor="text1"/>
                <w:sz w:val="24"/>
                <w:szCs w:val="24"/>
              </w:rPr>
            </w:pPr>
          </w:p>
        </w:tc>
        <w:tc>
          <w:tcPr>
            <w:tcW w:w="0" w:type="auto"/>
            <w:tcBorders>
              <w:bottom w:val="single" w:sz="4" w:space="0" w:color="auto"/>
            </w:tcBorders>
          </w:tcPr>
          <w:p w14:paraId="0438685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751</w:t>
            </w:r>
          </w:p>
        </w:tc>
        <w:tc>
          <w:tcPr>
            <w:tcW w:w="0" w:type="auto"/>
            <w:tcBorders>
              <w:bottom w:val="single" w:sz="4" w:space="0" w:color="auto"/>
            </w:tcBorders>
          </w:tcPr>
          <w:p w14:paraId="0306B71B"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720</w:t>
            </w:r>
          </w:p>
        </w:tc>
        <w:tc>
          <w:tcPr>
            <w:tcW w:w="0" w:type="auto"/>
            <w:tcBorders>
              <w:bottom w:val="single" w:sz="4" w:space="0" w:color="auto"/>
            </w:tcBorders>
          </w:tcPr>
          <w:p w14:paraId="33AB4BD2"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720</w:t>
            </w:r>
          </w:p>
        </w:tc>
        <w:tc>
          <w:tcPr>
            <w:tcW w:w="0" w:type="auto"/>
            <w:tcBorders>
              <w:bottom w:val="single" w:sz="4" w:space="0" w:color="auto"/>
            </w:tcBorders>
          </w:tcPr>
          <w:p w14:paraId="4D8875EE" w14:textId="77777777" w:rsidR="00DC651C" w:rsidRPr="00DC651C" w:rsidRDefault="00DC651C" w:rsidP="00AA3575">
            <w:pPr>
              <w:rPr>
                <w:rFonts w:ascii="Times New Roman" w:hAnsi="Times New Roman" w:cs="Times New Roman"/>
                <w:color w:val="000000" w:themeColor="text1"/>
                <w:sz w:val="24"/>
                <w:szCs w:val="24"/>
              </w:rPr>
            </w:pPr>
            <w:r w:rsidRPr="00DC651C">
              <w:rPr>
                <w:rFonts w:ascii="Times New Roman" w:hAnsi="Times New Roman" w:cs="Times New Roman"/>
                <w:color w:val="000000" w:themeColor="text1"/>
                <w:sz w:val="24"/>
                <w:szCs w:val="24"/>
              </w:rPr>
              <w:t>Rocking CH</w:t>
            </w:r>
            <w:r w:rsidRPr="00DC651C">
              <w:rPr>
                <w:rFonts w:ascii="Times New Roman" w:hAnsi="Times New Roman" w:cs="Times New Roman"/>
                <w:color w:val="000000" w:themeColor="text1"/>
                <w:sz w:val="24"/>
                <w:szCs w:val="24"/>
                <w:vertAlign w:val="subscript"/>
              </w:rPr>
              <w:t>2</w:t>
            </w:r>
          </w:p>
        </w:tc>
      </w:tr>
    </w:tbl>
    <w:p w14:paraId="1B6D2EC6" w14:textId="77777777" w:rsidR="00DC651C" w:rsidRPr="00DC651C" w:rsidRDefault="00DC651C" w:rsidP="00DC651C">
      <w:pPr>
        <w:rPr>
          <w:rFonts w:ascii="Times New Roman" w:hAnsi="Times New Roman" w:cs="Times New Roman"/>
          <w:color w:val="000000" w:themeColor="text1"/>
          <w:sz w:val="24"/>
          <w:szCs w:val="24"/>
        </w:rPr>
      </w:pPr>
    </w:p>
    <w:p w14:paraId="46A81C13" w14:textId="77777777" w:rsidR="00DC651C" w:rsidRDefault="00DC651C" w:rsidP="001117B2">
      <w:pPr>
        <w:jc w:val="both"/>
        <w:rPr>
          <w:rFonts w:ascii="Times New Roman" w:hAnsi="Times New Roman" w:cs="Times New Roman"/>
          <w:b/>
          <w:sz w:val="24"/>
          <w:szCs w:val="24"/>
        </w:rPr>
      </w:pPr>
    </w:p>
    <w:p w14:paraId="3A49DCF2" w14:textId="77777777" w:rsidR="00A23AEA" w:rsidRDefault="00A23AEA" w:rsidP="001117B2">
      <w:pPr>
        <w:jc w:val="both"/>
        <w:rPr>
          <w:rFonts w:ascii="Times New Roman" w:hAnsi="Times New Roman" w:cs="Times New Roman"/>
          <w:b/>
          <w:sz w:val="24"/>
          <w:szCs w:val="24"/>
        </w:rPr>
      </w:pPr>
    </w:p>
    <w:p w14:paraId="3EADF3CD" w14:textId="77777777" w:rsidR="00A23AEA" w:rsidRDefault="00A23AEA" w:rsidP="001117B2">
      <w:pPr>
        <w:jc w:val="both"/>
        <w:rPr>
          <w:rFonts w:ascii="Times New Roman" w:hAnsi="Times New Roman" w:cs="Times New Roman"/>
          <w:b/>
          <w:sz w:val="24"/>
          <w:szCs w:val="24"/>
        </w:rPr>
      </w:pPr>
    </w:p>
    <w:p w14:paraId="326EC8AE" w14:textId="77777777" w:rsidR="00A23AEA" w:rsidRDefault="00A23AEA" w:rsidP="001117B2">
      <w:pPr>
        <w:jc w:val="both"/>
        <w:rPr>
          <w:rFonts w:ascii="Times New Roman" w:hAnsi="Times New Roman" w:cs="Times New Roman"/>
          <w:b/>
          <w:sz w:val="24"/>
          <w:szCs w:val="24"/>
        </w:rPr>
      </w:pPr>
    </w:p>
    <w:p w14:paraId="5F158071" w14:textId="77777777" w:rsidR="00A23AEA" w:rsidRDefault="00A23AEA" w:rsidP="001117B2">
      <w:pPr>
        <w:jc w:val="both"/>
        <w:rPr>
          <w:rFonts w:ascii="Times New Roman" w:hAnsi="Times New Roman" w:cs="Times New Roman"/>
          <w:b/>
          <w:sz w:val="24"/>
          <w:szCs w:val="24"/>
        </w:rPr>
      </w:pPr>
    </w:p>
    <w:p w14:paraId="56ED68F5" w14:textId="77777777" w:rsidR="00A23AEA" w:rsidRDefault="00A23AEA" w:rsidP="001117B2">
      <w:pPr>
        <w:jc w:val="both"/>
        <w:rPr>
          <w:rFonts w:ascii="Times New Roman" w:hAnsi="Times New Roman" w:cs="Times New Roman"/>
          <w:b/>
          <w:sz w:val="24"/>
          <w:szCs w:val="24"/>
        </w:rPr>
      </w:pPr>
    </w:p>
    <w:p w14:paraId="6CE06D25" w14:textId="77777777" w:rsidR="00A23AEA" w:rsidRDefault="00A23AEA" w:rsidP="001117B2">
      <w:pPr>
        <w:jc w:val="both"/>
        <w:rPr>
          <w:rFonts w:ascii="Times New Roman" w:hAnsi="Times New Roman" w:cs="Times New Roman"/>
          <w:b/>
          <w:sz w:val="24"/>
          <w:szCs w:val="24"/>
        </w:rPr>
      </w:pPr>
    </w:p>
    <w:p w14:paraId="78C82517" w14:textId="77777777" w:rsidR="00A23AEA" w:rsidRDefault="00A23AEA" w:rsidP="001117B2">
      <w:pPr>
        <w:jc w:val="both"/>
        <w:rPr>
          <w:rFonts w:ascii="Times New Roman" w:hAnsi="Times New Roman" w:cs="Times New Roman"/>
          <w:b/>
          <w:sz w:val="24"/>
          <w:szCs w:val="24"/>
        </w:rPr>
      </w:pPr>
    </w:p>
    <w:p w14:paraId="3143DEEA" w14:textId="77777777" w:rsidR="00A23AEA" w:rsidRDefault="00A23AEA" w:rsidP="001117B2">
      <w:pPr>
        <w:jc w:val="both"/>
        <w:rPr>
          <w:rFonts w:ascii="Times New Roman" w:hAnsi="Times New Roman" w:cs="Times New Roman"/>
          <w:b/>
          <w:sz w:val="24"/>
          <w:szCs w:val="24"/>
        </w:rPr>
      </w:pPr>
    </w:p>
    <w:p w14:paraId="13CB7EB8" w14:textId="77777777" w:rsidR="00A23AEA" w:rsidRDefault="00A23AEA" w:rsidP="001117B2">
      <w:pPr>
        <w:jc w:val="both"/>
        <w:rPr>
          <w:rFonts w:ascii="Times New Roman" w:hAnsi="Times New Roman" w:cs="Times New Roman"/>
          <w:b/>
          <w:sz w:val="24"/>
          <w:szCs w:val="24"/>
        </w:rPr>
      </w:pPr>
    </w:p>
    <w:p w14:paraId="00C905CE" w14:textId="77777777" w:rsidR="00A23AEA" w:rsidRDefault="00A23AEA" w:rsidP="001117B2">
      <w:pPr>
        <w:jc w:val="both"/>
        <w:rPr>
          <w:rFonts w:ascii="Times New Roman" w:hAnsi="Times New Roman" w:cs="Times New Roman"/>
          <w:b/>
          <w:sz w:val="24"/>
          <w:szCs w:val="24"/>
        </w:rPr>
      </w:pPr>
    </w:p>
    <w:p w14:paraId="3AF062B6" w14:textId="77777777" w:rsidR="00A23AEA" w:rsidRDefault="00A23AEA" w:rsidP="001117B2">
      <w:pPr>
        <w:jc w:val="both"/>
        <w:rPr>
          <w:rFonts w:ascii="Times New Roman" w:hAnsi="Times New Roman" w:cs="Times New Roman"/>
          <w:b/>
          <w:sz w:val="24"/>
          <w:szCs w:val="24"/>
        </w:rPr>
      </w:pPr>
    </w:p>
    <w:p w14:paraId="3307C6C5" w14:textId="77777777" w:rsidR="00A23AEA" w:rsidRDefault="00A23AEA" w:rsidP="001117B2">
      <w:pPr>
        <w:jc w:val="both"/>
        <w:rPr>
          <w:rFonts w:ascii="Times New Roman" w:hAnsi="Times New Roman" w:cs="Times New Roman"/>
          <w:b/>
          <w:sz w:val="24"/>
          <w:szCs w:val="24"/>
        </w:rPr>
      </w:pPr>
    </w:p>
    <w:p w14:paraId="4C615306" w14:textId="77777777" w:rsidR="002F4ACB" w:rsidRPr="001117B2" w:rsidRDefault="0004689E" w:rsidP="001117B2">
      <w:pPr>
        <w:jc w:val="both"/>
        <w:rPr>
          <w:rFonts w:ascii="Times New Roman" w:hAnsi="Times New Roman" w:cs="Times New Roman"/>
          <w:sz w:val="24"/>
          <w:szCs w:val="24"/>
        </w:rPr>
      </w:pPr>
      <w:r w:rsidRPr="0004689E">
        <w:rPr>
          <w:rFonts w:ascii="Times New Roman" w:hAnsi="Times New Roman" w:cs="Times New Roman"/>
          <w:b/>
          <w:sz w:val="24"/>
          <w:szCs w:val="24"/>
        </w:rPr>
        <w:lastRenderedPageBreak/>
        <w:t>References</w:t>
      </w:r>
    </w:p>
    <w:p w14:paraId="4CBAF6C1" w14:textId="77777777" w:rsidR="001117B2" w:rsidRPr="001117B2" w:rsidRDefault="001117B2" w:rsidP="00040B17">
      <w:pPr>
        <w:spacing w:after="0" w:line="480" w:lineRule="auto"/>
        <w:ind w:left="720" w:hanging="720"/>
        <w:jc w:val="both"/>
        <w:rPr>
          <w:rFonts w:ascii="Times New Roman" w:hAnsi="Times New Roman" w:cs="Times New Roman"/>
          <w:noProof/>
          <w:color w:val="000000" w:themeColor="text1"/>
          <w:sz w:val="24"/>
          <w:szCs w:val="24"/>
        </w:rPr>
      </w:pPr>
      <w:r w:rsidRPr="001117B2">
        <w:rPr>
          <w:rFonts w:ascii="Times New Roman" w:hAnsi="Times New Roman" w:cs="Times New Roman"/>
          <w:noProof/>
          <w:color w:val="000000" w:themeColor="text1"/>
          <w:sz w:val="24"/>
          <w:szCs w:val="24"/>
        </w:rPr>
        <w:t xml:space="preserve">Olaniyi, A.A., Sofowora, E.A., Oguntimehin, B.O., 1975. Phytochemical investigation of some Nigerian plants used against fevers. II. Cymbopogon citratus. Planta Med. 28. </w:t>
      </w:r>
      <w:hyperlink r:id="rId13" w:history="1">
        <w:r w:rsidRPr="001117B2">
          <w:rPr>
            <w:rStyle w:val="Hyperlink"/>
            <w:rFonts w:ascii="Times New Roman" w:hAnsi="Times New Roman" w:cs="Times New Roman"/>
            <w:noProof/>
            <w:sz w:val="24"/>
            <w:szCs w:val="24"/>
          </w:rPr>
          <w:t>https://doi.org/10.1055/s-0028-1097851</w:t>
        </w:r>
      </w:hyperlink>
    </w:p>
    <w:p w14:paraId="3B992155" w14:textId="77777777" w:rsidR="001117B2" w:rsidRPr="001117B2" w:rsidRDefault="001117B2" w:rsidP="00040B17">
      <w:pPr>
        <w:tabs>
          <w:tab w:val="left" w:pos="780"/>
        </w:tabs>
        <w:spacing w:after="0" w:line="480" w:lineRule="auto"/>
        <w:ind w:left="720" w:hanging="720"/>
        <w:jc w:val="both"/>
        <w:rPr>
          <w:rFonts w:ascii="Times New Roman" w:hAnsi="Times New Roman" w:cs="Times New Roman"/>
          <w:noProof/>
          <w:color w:val="000000" w:themeColor="text1"/>
          <w:sz w:val="24"/>
          <w:szCs w:val="24"/>
        </w:rPr>
      </w:pPr>
      <w:r w:rsidRPr="001117B2">
        <w:rPr>
          <w:rFonts w:ascii="Times New Roman" w:hAnsi="Times New Roman" w:cs="Times New Roman"/>
          <w:noProof/>
          <w:color w:val="000000" w:themeColor="text1"/>
          <w:sz w:val="24"/>
          <w:szCs w:val="24"/>
        </w:rPr>
        <w:t xml:space="preserve">Velioglu, Y.S., Mazza, G., Gao, L., Oomah, B.D., 1998. Antioxidant Activity and Total Phenolics in Selected Fruits, Vegetables, and Grain Products. J. Agric. Food Chem. 46. </w:t>
      </w:r>
      <w:hyperlink r:id="rId14" w:history="1">
        <w:r w:rsidRPr="001117B2">
          <w:rPr>
            <w:rStyle w:val="Hyperlink"/>
            <w:rFonts w:ascii="Times New Roman" w:hAnsi="Times New Roman" w:cs="Times New Roman"/>
            <w:noProof/>
            <w:sz w:val="24"/>
            <w:szCs w:val="24"/>
          </w:rPr>
          <w:t>https://doi.org/10.1021/jf9801973</w:t>
        </w:r>
      </w:hyperlink>
    </w:p>
    <w:p w14:paraId="7CA07DD6" w14:textId="77777777" w:rsidR="001117B2" w:rsidRPr="001117B2" w:rsidRDefault="001117B2" w:rsidP="00040B17">
      <w:pPr>
        <w:tabs>
          <w:tab w:val="left" w:pos="780"/>
        </w:tabs>
        <w:spacing w:after="0" w:line="480" w:lineRule="auto"/>
        <w:ind w:left="720" w:hanging="720"/>
        <w:jc w:val="both"/>
        <w:rPr>
          <w:rFonts w:ascii="Times New Roman" w:hAnsi="Times New Roman" w:cs="Times New Roman"/>
          <w:noProof/>
          <w:color w:val="000000" w:themeColor="text1"/>
          <w:sz w:val="24"/>
          <w:szCs w:val="24"/>
        </w:rPr>
      </w:pPr>
      <w:r w:rsidRPr="001117B2">
        <w:rPr>
          <w:rFonts w:ascii="Times New Roman" w:hAnsi="Times New Roman" w:cs="Times New Roman"/>
          <w:noProof/>
          <w:color w:val="000000" w:themeColor="text1"/>
          <w:sz w:val="24"/>
          <w:szCs w:val="24"/>
        </w:rPr>
        <w:t xml:space="preserve">Edeoga, H.O., Okwu, D.E., Mbaebie, B.O., 2005. Phytochemical constituents of some Nigerian medicinal plants. African J. Biotechnol. 4. </w:t>
      </w:r>
      <w:hyperlink r:id="rId15" w:history="1">
        <w:r w:rsidRPr="001117B2">
          <w:rPr>
            <w:rStyle w:val="Hyperlink"/>
            <w:rFonts w:ascii="Times New Roman" w:hAnsi="Times New Roman" w:cs="Times New Roman"/>
            <w:noProof/>
            <w:sz w:val="24"/>
            <w:szCs w:val="24"/>
          </w:rPr>
          <w:t>https://doi.org/10.5897/AJB2005.000-3127</w:t>
        </w:r>
      </w:hyperlink>
    </w:p>
    <w:p w14:paraId="34087148" w14:textId="77777777" w:rsidR="001117B2" w:rsidRPr="001117B2" w:rsidRDefault="001117B2" w:rsidP="00040B17">
      <w:pPr>
        <w:widowControl w:val="0"/>
        <w:autoSpaceDE w:val="0"/>
        <w:autoSpaceDN w:val="0"/>
        <w:adjustRightInd w:val="0"/>
        <w:spacing w:after="0" w:line="480" w:lineRule="auto"/>
        <w:ind w:left="480" w:hanging="480"/>
        <w:jc w:val="both"/>
        <w:rPr>
          <w:rFonts w:ascii="Times New Roman" w:hAnsi="Times New Roman" w:cs="Times New Roman"/>
          <w:noProof/>
          <w:color w:val="000000" w:themeColor="text1"/>
          <w:sz w:val="24"/>
          <w:szCs w:val="24"/>
        </w:rPr>
      </w:pPr>
      <w:r w:rsidRPr="001117B2">
        <w:rPr>
          <w:rFonts w:ascii="Times New Roman" w:hAnsi="Times New Roman" w:cs="Times New Roman"/>
          <w:noProof/>
          <w:color w:val="000000" w:themeColor="text1"/>
          <w:sz w:val="24"/>
          <w:szCs w:val="24"/>
        </w:rPr>
        <w:t xml:space="preserve">Yen, G.C., Chen, H.Y., 1995. Antioxidant Activity of Various Tea Extracts in Relation to Their Antimutagenicity. J. Agric. Food Chem. 43, 27–32. </w:t>
      </w:r>
      <w:hyperlink r:id="rId16" w:history="1">
        <w:r w:rsidRPr="001117B2">
          <w:rPr>
            <w:rStyle w:val="Hyperlink"/>
            <w:rFonts w:ascii="Times New Roman" w:hAnsi="Times New Roman" w:cs="Times New Roman"/>
            <w:noProof/>
            <w:sz w:val="24"/>
            <w:szCs w:val="24"/>
          </w:rPr>
          <w:t>https://doi.org/10.1021/jf00049a007</w:t>
        </w:r>
      </w:hyperlink>
    </w:p>
    <w:p w14:paraId="42EE986B" w14:textId="77777777" w:rsidR="001117B2" w:rsidRPr="001117B2" w:rsidRDefault="001117B2" w:rsidP="00040B17">
      <w:pPr>
        <w:widowControl w:val="0"/>
        <w:autoSpaceDE w:val="0"/>
        <w:autoSpaceDN w:val="0"/>
        <w:adjustRightInd w:val="0"/>
        <w:spacing w:after="0" w:line="480" w:lineRule="auto"/>
        <w:ind w:left="480" w:hanging="480"/>
        <w:jc w:val="both"/>
        <w:rPr>
          <w:rFonts w:ascii="Times New Roman" w:hAnsi="Times New Roman" w:cs="Times New Roman"/>
          <w:noProof/>
          <w:color w:val="000000" w:themeColor="text1"/>
          <w:sz w:val="24"/>
          <w:szCs w:val="24"/>
        </w:rPr>
      </w:pPr>
      <w:r w:rsidRPr="001117B2">
        <w:rPr>
          <w:rFonts w:ascii="Times New Roman" w:hAnsi="Times New Roman" w:cs="Times New Roman"/>
          <w:noProof/>
          <w:color w:val="000000" w:themeColor="text1"/>
          <w:sz w:val="24"/>
          <w:szCs w:val="24"/>
        </w:rPr>
        <w:t xml:space="preserve">Oyaizu, M., 1986. Studies on products of browning reaction. Antioxidative activities of products of browning reaction prepared from glucosamine. Japanese J. Nutr. Diet. 44, 307–315. </w:t>
      </w:r>
      <w:hyperlink r:id="rId17" w:history="1">
        <w:r w:rsidRPr="001117B2">
          <w:rPr>
            <w:rStyle w:val="Hyperlink"/>
            <w:rFonts w:ascii="Times New Roman" w:hAnsi="Times New Roman" w:cs="Times New Roman"/>
            <w:noProof/>
            <w:sz w:val="24"/>
            <w:szCs w:val="24"/>
          </w:rPr>
          <w:t>https://doi.org/10.5264/eiyogakuzashi.44.307</w:t>
        </w:r>
      </w:hyperlink>
    </w:p>
    <w:p w14:paraId="565A22BA" w14:textId="77777777" w:rsidR="001117B2" w:rsidRPr="001117B2" w:rsidRDefault="001117B2" w:rsidP="00040B17">
      <w:pPr>
        <w:widowControl w:val="0"/>
        <w:autoSpaceDE w:val="0"/>
        <w:autoSpaceDN w:val="0"/>
        <w:adjustRightInd w:val="0"/>
        <w:spacing w:after="0" w:line="480" w:lineRule="auto"/>
        <w:ind w:left="480" w:hanging="480"/>
        <w:jc w:val="both"/>
        <w:rPr>
          <w:rFonts w:ascii="Times New Roman" w:hAnsi="Times New Roman" w:cs="Times New Roman"/>
          <w:noProof/>
          <w:color w:val="000000" w:themeColor="text1"/>
          <w:sz w:val="24"/>
          <w:szCs w:val="24"/>
        </w:rPr>
      </w:pPr>
      <w:r w:rsidRPr="001117B2">
        <w:rPr>
          <w:rFonts w:ascii="Times New Roman" w:hAnsi="Times New Roman" w:cs="Times New Roman"/>
          <w:noProof/>
          <w:color w:val="000000" w:themeColor="text1"/>
          <w:sz w:val="24"/>
          <w:szCs w:val="24"/>
        </w:rPr>
        <w:t xml:space="preserve">Prieto, P., Pineda, M., Aguilar, M., 1999. Spectrophotometric quantitation of antioxidant capacity through the formation of a phosphomolybdenum complex: Specific application to the determination of vitamin E. Anal. Biochem. 269. </w:t>
      </w:r>
      <w:hyperlink r:id="rId18" w:history="1">
        <w:r w:rsidRPr="001117B2">
          <w:rPr>
            <w:rStyle w:val="Hyperlink"/>
            <w:rFonts w:ascii="Times New Roman" w:hAnsi="Times New Roman" w:cs="Times New Roman"/>
            <w:noProof/>
            <w:sz w:val="24"/>
            <w:szCs w:val="24"/>
          </w:rPr>
          <w:t>https://doi.org/10.1006/abio.1999.4019</w:t>
        </w:r>
      </w:hyperlink>
    </w:p>
    <w:p w14:paraId="5AF31BF3" w14:textId="77777777" w:rsidR="001117B2" w:rsidRPr="001117B2" w:rsidRDefault="001117B2" w:rsidP="00040B17">
      <w:pPr>
        <w:widowControl w:val="0"/>
        <w:autoSpaceDE w:val="0"/>
        <w:autoSpaceDN w:val="0"/>
        <w:adjustRightInd w:val="0"/>
        <w:spacing w:after="0" w:line="480" w:lineRule="auto"/>
        <w:ind w:left="480" w:hanging="480"/>
        <w:jc w:val="both"/>
        <w:rPr>
          <w:rFonts w:ascii="Times New Roman" w:eastAsiaTheme="minorHAnsi" w:hAnsi="Times New Roman" w:cs="Times New Roman"/>
          <w:noProof/>
          <w:color w:val="000000" w:themeColor="text1"/>
          <w:sz w:val="24"/>
          <w:szCs w:val="24"/>
        </w:rPr>
      </w:pPr>
      <w:r w:rsidRPr="001117B2">
        <w:rPr>
          <w:rFonts w:ascii="Times New Roman" w:eastAsiaTheme="minorHAnsi" w:hAnsi="Times New Roman" w:cs="Times New Roman"/>
          <w:noProof/>
          <w:color w:val="000000" w:themeColor="text1"/>
          <w:sz w:val="24"/>
          <w:szCs w:val="24"/>
        </w:rPr>
        <w:t>Eloff, J.N., 1998. A sensitive and quick microplate method to determine the minimal inhibitory concentration of plant extracts for bacteria. Planta Med. 64, 711–713. https://doi.org/10.1055/s-2006-9575637</w:t>
      </w:r>
    </w:p>
    <w:p w14:paraId="3B842613" w14:textId="77777777" w:rsidR="001117B2" w:rsidRPr="001117B2" w:rsidRDefault="001117B2" w:rsidP="00040B17">
      <w:pPr>
        <w:widowControl w:val="0"/>
        <w:autoSpaceDE w:val="0"/>
        <w:autoSpaceDN w:val="0"/>
        <w:adjustRightInd w:val="0"/>
        <w:spacing w:after="0" w:line="480" w:lineRule="auto"/>
        <w:ind w:left="480" w:hanging="480"/>
        <w:jc w:val="both"/>
        <w:rPr>
          <w:rFonts w:ascii="Times New Roman" w:hAnsi="Times New Roman" w:cs="Times New Roman"/>
          <w:noProof/>
          <w:color w:val="000000" w:themeColor="text1"/>
          <w:sz w:val="24"/>
          <w:szCs w:val="24"/>
        </w:rPr>
      </w:pPr>
      <w:r w:rsidRPr="001117B2">
        <w:rPr>
          <w:rFonts w:ascii="Times New Roman" w:hAnsi="Times New Roman" w:cs="Times New Roman"/>
          <w:noProof/>
          <w:color w:val="000000" w:themeColor="text1"/>
          <w:sz w:val="24"/>
          <w:szCs w:val="24"/>
        </w:rPr>
        <w:t>Naumann, D., Helm, D., Labischinski, H., Giesbrecht, P., 1991. The characterisation of microorganisms by Fourier-transform infrared spectroscopy (FT-IR).In Modern Techniques for Rapid Microbiological Analysis (ed.). Nelson, W.H . New York VCH Publ.</w:t>
      </w:r>
    </w:p>
    <w:p w14:paraId="679D5BC4" w14:textId="77777777" w:rsidR="001117B2" w:rsidRPr="001117B2" w:rsidRDefault="001117B2" w:rsidP="001117B2">
      <w:pPr>
        <w:jc w:val="both"/>
        <w:rPr>
          <w:rFonts w:ascii="Times New Roman" w:hAnsi="Times New Roman" w:cs="Times New Roman"/>
          <w:sz w:val="24"/>
          <w:szCs w:val="24"/>
        </w:rPr>
      </w:pPr>
    </w:p>
    <w:sectPr w:rsidR="001117B2" w:rsidRPr="001117B2" w:rsidSect="002F4AC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76187" w14:textId="77777777" w:rsidR="00B1319F" w:rsidRDefault="00B1319F" w:rsidP="0027502D">
      <w:pPr>
        <w:spacing w:after="0" w:line="240" w:lineRule="auto"/>
      </w:pPr>
      <w:r>
        <w:separator/>
      </w:r>
    </w:p>
  </w:endnote>
  <w:endnote w:type="continuationSeparator" w:id="0">
    <w:p w14:paraId="6C8701B4" w14:textId="77777777" w:rsidR="00B1319F" w:rsidRDefault="00B1319F" w:rsidP="00275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ha">
    <w:panose1 w:val="02000400000000000000"/>
    <w:charset w:val="00"/>
    <w:family w:val="swiss"/>
    <w:pitch w:val="variable"/>
    <w:sig w:usb0="001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D19B" w14:textId="77777777" w:rsidR="0027502D" w:rsidRDefault="002750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347687"/>
      <w:docPartObj>
        <w:docPartGallery w:val="Page Numbers (Bottom of Page)"/>
        <w:docPartUnique/>
      </w:docPartObj>
    </w:sdtPr>
    <w:sdtEndPr>
      <w:rPr>
        <w:noProof/>
      </w:rPr>
    </w:sdtEndPr>
    <w:sdtContent>
      <w:p w14:paraId="1E0E80F1" w14:textId="09F43CBC" w:rsidR="0027502D" w:rsidRDefault="002750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DB08F1" w14:textId="77777777" w:rsidR="0027502D" w:rsidRDefault="002750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37E3C" w14:textId="77777777" w:rsidR="0027502D" w:rsidRDefault="00275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76D64" w14:textId="77777777" w:rsidR="00B1319F" w:rsidRDefault="00B1319F" w:rsidP="0027502D">
      <w:pPr>
        <w:spacing w:after="0" w:line="240" w:lineRule="auto"/>
      </w:pPr>
      <w:r>
        <w:separator/>
      </w:r>
    </w:p>
  </w:footnote>
  <w:footnote w:type="continuationSeparator" w:id="0">
    <w:p w14:paraId="1DF7965A" w14:textId="77777777" w:rsidR="00B1319F" w:rsidRDefault="00B1319F" w:rsidP="00275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C9A4" w14:textId="77777777" w:rsidR="0027502D" w:rsidRDefault="002750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1909" w14:textId="77777777" w:rsidR="0027502D" w:rsidRDefault="002750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4F63E" w14:textId="77777777" w:rsidR="0027502D" w:rsidRDefault="002750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U3MzGxMAYiUwNTMyUdpeDU4uLM/DyQApNaAOwnt24sAAAA"/>
  </w:docVars>
  <w:rsids>
    <w:rsidRoot w:val="001117B2"/>
    <w:rsid w:val="00040B17"/>
    <w:rsid w:val="0004689E"/>
    <w:rsid w:val="001117B2"/>
    <w:rsid w:val="0027502D"/>
    <w:rsid w:val="00297A79"/>
    <w:rsid w:val="002F4ACB"/>
    <w:rsid w:val="002F5425"/>
    <w:rsid w:val="004525BC"/>
    <w:rsid w:val="004F59C6"/>
    <w:rsid w:val="008928F4"/>
    <w:rsid w:val="00A23AEA"/>
    <w:rsid w:val="00B1319F"/>
    <w:rsid w:val="00BD6935"/>
    <w:rsid w:val="00C100A8"/>
    <w:rsid w:val="00C25FE9"/>
    <w:rsid w:val="00DC651C"/>
    <w:rsid w:val="00DD3154"/>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D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A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17B2"/>
    <w:rPr>
      <w:color w:val="0000FF" w:themeColor="hyperlink"/>
      <w:u w:val="single"/>
    </w:rPr>
  </w:style>
  <w:style w:type="table" w:styleId="TableGrid">
    <w:name w:val="Table Grid"/>
    <w:basedOn w:val="TableNormal"/>
    <w:uiPriority w:val="59"/>
    <w:rsid w:val="00DC651C"/>
    <w:pPr>
      <w:spacing w:after="0" w:line="240" w:lineRule="auto"/>
    </w:pPr>
    <w:rPr>
      <w:rFonts w:eastAsiaTheme="minorHAnsi"/>
      <w:lang w:val="en-IN" w:bidi="ta-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7502D"/>
    <w:rPr>
      <w:color w:val="605E5C"/>
      <w:shd w:val="clear" w:color="auto" w:fill="E1DFDD"/>
    </w:rPr>
  </w:style>
  <w:style w:type="paragraph" w:styleId="Header">
    <w:name w:val="header"/>
    <w:basedOn w:val="Normal"/>
    <w:link w:val="HeaderChar"/>
    <w:uiPriority w:val="99"/>
    <w:unhideWhenUsed/>
    <w:rsid w:val="00275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02D"/>
  </w:style>
  <w:style w:type="paragraph" w:styleId="Footer">
    <w:name w:val="footer"/>
    <w:basedOn w:val="Normal"/>
    <w:link w:val="FooterChar"/>
    <w:uiPriority w:val="99"/>
    <w:unhideWhenUsed/>
    <w:rsid w:val="00275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doi.org/10.1055/s-0028-1097851" TargetMode="External"/><Relationship Id="rId18" Type="http://schemas.openxmlformats.org/officeDocument/2006/relationships/hyperlink" Target="https://doi.org/10.1006/abio.1999.4019"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doi.org/10.5264/eiyogakuzashi.44.307" TargetMode="External"/><Relationship Id="rId2" Type="http://schemas.openxmlformats.org/officeDocument/2006/relationships/settings" Target="settings.xml"/><Relationship Id="rId16" Type="http://schemas.openxmlformats.org/officeDocument/2006/relationships/hyperlink" Target="https://doi.org/10.1021/jf00049a007"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rmugam@gmail.com"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doi.org/10.5897/AJB2005.000-3127"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doi.org/10.1021/jf98019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107E46-22DF-4DE8-BF34-524F2328A947}">
  <we:reference id="c48fb390-44b5-4201-a3e4-26377914a574" version="1.0.0.0" store="EXCatalog" storeType="EXCatalog"/>
  <we:alternateReferences>
    <we:reference id="WA200000368" version="1.0.0.0" store="en-IN"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6</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2022-01-04T10:08:00Z</dcterms:created>
  <dcterms:modified xsi:type="dcterms:W3CDTF">2022-02-03T06:40:00Z</dcterms:modified>
</cp:coreProperties>
</file>