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CFCE8" w14:textId="503B2B34" w:rsidR="00AC4D66" w:rsidRPr="00AC4D66" w:rsidRDefault="00AC4D66" w:rsidP="002930E5">
      <w:pPr>
        <w:autoSpaceDE w:val="0"/>
        <w:autoSpaceDN w:val="0"/>
        <w:adjustRightInd w:val="0"/>
        <w:spacing w:line="480" w:lineRule="auto"/>
        <w:jc w:val="both"/>
        <w:rPr>
          <w:b/>
          <w:u w:val="single"/>
          <w:lang w:val="en-US"/>
        </w:rPr>
      </w:pPr>
      <w:r w:rsidRPr="00AC4D66">
        <w:rPr>
          <w:b/>
          <w:u w:val="single"/>
          <w:lang w:val="en-US"/>
        </w:rPr>
        <w:t>Supplementary information</w:t>
      </w:r>
    </w:p>
    <w:p w14:paraId="08F547B4" w14:textId="77777777" w:rsidR="00AC4D66" w:rsidRDefault="00AC4D66" w:rsidP="002930E5">
      <w:pPr>
        <w:autoSpaceDE w:val="0"/>
        <w:autoSpaceDN w:val="0"/>
        <w:adjustRightInd w:val="0"/>
        <w:spacing w:line="480" w:lineRule="auto"/>
        <w:jc w:val="both"/>
        <w:rPr>
          <w:b/>
          <w:lang w:val="en-US"/>
        </w:rPr>
      </w:pPr>
    </w:p>
    <w:p w14:paraId="28D1C602" w14:textId="13C9E117" w:rsidR="002930E5" w:rsidRPr="002930E5" w:rsidRDefault="002930E5" w:rsidP="002930E5">
      <w:pPr>
        <w:autoSpaceDE w:val="0"/>
        <w:autoSpaceDN w:val="0"/>
        <w:adjustRightInd w:val="0"/>
        <w:spacing w:line="480" w:lineRule="auto"/>
        <w:jc w:val="both"/>
        <w:rPr>
          <w:b/>
          <w:lang w:val="en-US"/>
        </w:rPr>
      </w:pPr>
      <w:r w:rsidRPr="002930E5">
        <w:rPr>
          <w:b/>
          <w:lang w:val="en-US"/>
        </w:rPr>
        <w:t>Argentine stingless bee honey: bioactive compounds and health-promoting properties</w:t>
      </w:r>
    </w:p>
    <w:p w14:paraId="12A60462" w14:textId="13713C8E" w:rsidR="002930E5" w:rsidRPr="002930E5" w:rsidRDefault="002930E5" w:rsidP="002930E5">
      <w:pPr>
        <w:autoSpaceDE w:val="0"/>
        <w:autoSpaceDN w:val="0"/>
        <w:adjustRightInd w:val="0"/>
        <w:spacing w:line="480" w:lineRule="auto"/>
        <w:jc w:val="both"/>
        <w:rPr>
          <w:bCs/>
          <w:lang w:val="en-US"/>
        </w:rPr>
      </w:pPr>
      <w:r w:rsidRPr="002930E5">
        <w:rPr>
          <w:bCs/>
          <w:lang w:val="en-US"/>
        </w:rPr>
        <w:t>Virginia M Salomon</w:t>
      </w:r>
      <w:r w:rsidRPr="002930E5">
        <w:rPr>
          <w:bCs/>
          <w:vertAlign w:val="superscript"/>
          <w:lang w:val="en-US"/>
        </w:rPr>
        <w:t>1</w:t>
      </w:r>
      <w:r w:rsidRPr="002930E5">
        <w:rPr>
          <w:bCs/>
          <w:lang w:val="en-US"/>
        </w:rPr>
        <w:t>, Ivana Y Brodkiewicz</w:t>
      </w:r>
      <w:r w:rsidRPr="002930E5">
        <w:rPr>
          <w:bCs/>
          <w:vertAlign w:val="superscript"/>
          <w:lang w:val="en-US"/>
        </w:rPr>
        <w:t>2</w:t>
      </w:r>
      <w:r w:rsidRPr="002930E5">
        <w:rPr>
          <w:bCs/>
          <w:lang w:val="en-US"/>
        </w:rPr>
        <w:t>, Gerardo P Gennari</w:t>
      </w:r>
      <w:r w:rsidRPr="002930E5">
        <w:rPr>
          <w:bCs/>
          <w:vertAlign w:val="superscript"/>
          <w:lang w:val="en-US"/>
        </w:rPr>
        <w:t>1</w:t>
      </w:r>
      <w:r w:rsidRPr="002930E5">
        <w:rPr>
          <w:bCs/>
          <w:lang w:val="en-US"/>
        </w:rPr>
        <w:t>, Luis M Maldonado</w:t>
      </w:r>
      <w:r w:rsidRPr="002930E5">
        <w:rPr>
          <w:bCs/>
          <w:vertAlign w:val="superscript"/>
          <w:lang w:val="en-US"/>
        </w:rPr>
        <w:t>1</w:t>
      </w:r>
      <w:r w:rsidRPr="002930E5">
        <w:rPr>
          <w:bCs/>
          <w:lang w:val="en-US"/>
        </w:rPr>
        <w:t>, Cintia M Romero</w:t>
      </w:r>
      <w:r w:rsidRPr="002930E5">
        <w:rPr>
          <w:bCs/>
          <w:vertAlign w:val="superscript"/>
          <w:lang w:val="en-US"/>
        </w:rPr>
        <w:t>3</w:t>
      </w:r>
      <w:r w:rsidRPr="002930E5">
        <w:rPr>
          <w:bCs/>
          <w:lang w:val="en-US"/>
        </w:rPr>
        <w:t>, Nancy Roxana Vera</w:t>
      </w:r>
      <w:r w:rsidRPr="002930E5">
        <w:rPr>
          <w:bCs/>
          <w:vertAlign w:val="superscript"/>
          <w:lang w:val="en-US"/>
        </w:rPr>
        <w:t>2</w:t>
      </w:r>
      <w:r w:rsidRPr="002930E5">
        <w:rPr>
          <w:bCs/>
          <w:lang w:val="en-US"/>
        </w:rPr>
        <w:t>*</w:t>
      </w:r>
    </w:p>
    <w:p w14:paraId="0602EC49" w14:textId="77777777" w:rsidR="002930E5" w:rsidRPr="002930E5" w:rsidRDefault="002930E5" w:rsidP="002930E5">
      <w:pPr>
        <w:autoSpaceDE w:val="0"/>
        <w:autoSpaceDN w:val="0"/>
        <w:adjustRightInd w:val="0"/>
        <w:spacing w:line="480" w:lineRule="auto"/>
        <w:jc w:val="both"/>
        <w:rPr>
          <w:bCs/>
          <w:lang w:val="en-US"/>
        </w:rPr>
      </w:pPr>
      <w:r w:rsidRPr="002930E5">
        <w:rPr>
          <w:bCs/>
          <w:vertAlign w:val="superscript"/>
          <w:lang w:val="en-US"/>
        </w:rPr>
        <w:t>1</w:t>
      </w:r>
      <w:r w:rsidRPr="002930E5">
        <w:rPr>
          <w:bCs/>
          <w:lang w:val="en-US"/>
        </w:rPr>
        <w:t xml:space="preserve">Estación Experimental </w:t>
      </w:r>
      <w:proofErr w:type="spellStart"/>
      <w:r w:rsidRPr="002930E5">
        <w:rPr>
          <w:bCs/>
          <w:lang w:val="en-US"/>
        </w:rPr>
        <w:t>Agropecuaria</w:t>
      </w:r>
      <w:proofErr w:type="spellEnd"/>
      <w:r w:rsidRPr="002930E5">
        <w:rPr>
          <w:bCs/>
          <w:lang w:val="en-US"/>
        </w:rPr>
        <w:t xml:space="preserve"> </w:t>
      </w:r>
      <w:proofErr w:type="spellStart"/>
      <w:r w:rsidRPr="002930E5">
        <w:rPr>
          <w:bCs/>
          <w:lang w:val="en-US"/>
        </w:rPr>
        <w:t>Famaillá</w:t>
      </w:r>
      <w:proofErr w:type="spellEnd"/>
      <w:r w:rsidRPr="002930E5">
        <w:rPr>
          <w:bCs/>
          <w:lang w:val="en-US"/>
        </w:rPr>
        <w:t xml:space="preserve">, Instituto Nacional de </w:t>
      </w:r>
      <w:proofErr w:type="spellStart"/>
      <w:r w:rsidRPr="002930E5">
        <w:rPr>
          <w:bCs/>
          <w:lang w:val="en-US"/>
        </w:rPr>
        <w:t>Tecnología</w:t>
      </w:r>
      <w:proofErr w:type="spellEnd"/>
      <w:r w:rsidRPr="002930E5">
        <w:rPr>
          <w:bCs/>
          <w:lang w:val="en-US"/>
        </w:rPr>
        <w:t xml:space="preserve"> </w:t>
      </w:r>
      <w:proofErr w:type="spellStart"/>
      <w:r w:rsidRPr="002930E5">
        <w:rPr>
          <w:bCs/>
          <w:lang w:val="en-US"/>
        </w:rPr>
        <w:t>Agropecuaria</w:t>
      </w:r>
      <w:proofErr w:type="spellEnd"/>
      <w:r w:rsidRPr="002930E5">
        <w:rPr>
          <w:bCs/>
          <w:lang w:val="en-US"/>
        </w:rPr>
        <w:t>, Argentina</w:t>
      </w:r>
    </w:p>
    <w:p w14:paraId="392F6757" w14:textId="77777777" w:rsidR="002930E5" w:rsidRPr="002930E5" w:rsidRDefault="002930E5" w:rsidP="002930E5">
      <w:pPr>
        <w:autoSpaceDE w:val="0"/>
        <w:autoSpaceDN w:val="0"/>
        <w:adjustRightInd w:val="0"/>
        <w:spacing w:line="480" w:lineRule="auto"/>
        <w:jc w:val="both"/>
        <w:rPr>
          <w:bCs/>
          <w:lang w:val="en-US"/>
        </w:rPr>
      </w:pPr>
      <w:r w:rsidRPr="002930E5">
        <w:rPr>
          <w:bCs/>
          <w:vertAlign w:val="superscript"/>
          <w:lang w:val="en-US"/>
        </w:rPr>
        <w:t>2</w:t>
      </w:r>
      <w:r w:rsidRPr="002930E5">
        <w:rPr>
          <w:bCs/>
          <w:lang w:val="en-US"/>
        </w:rPr>
        <w:t xml:space="preserve">Instituto de </w:t>
      </w:r>
      <w:proofErr w:type="spellStart"/>
      <w:r w:rsidRPr="002930E5">
        <w:rPr>
          <w:bCs/>
          <w:lang w:val="en-US"/>
        </w:rPr>
        <w:t>Estudios</w:t>
      </w:r>
      <w:proofErr w:type="spellEnd"/>
      <w:r w:rsidRPr="002930E5">
        <w:rPr>
          <w:bCs/>
          <w:lang w:val="en-US"/>
        </w:rPr>
        <w:t xml:space="preserve"> </w:t>
      </w:r>
      <w:proofErr w:type="spellStart"/>
      <w:r w:rsidRPr="002930E5">
        <w:rPr>
          <w:bCs/>
          <w:lang w:val="en-US"/>
        </w:rPr>
        <w:t>Farmacológicos</w:t>
      </w:r>
      <w:proofErr w:type="spellEnd"/>
      <w:r w:rsidRPr="002930E5">
        <w:rPr>
          <w:bCs/>
          <w:lang w:val="en-US"/>
        </w:rPr>
        <w:t>, Universidad Nacional de Tucumán, Ayacucho 471, 4000, San Miguel de Tucuman, Argentina</w:t>
      </w:r>
    </w:p>
    <w:p w14:paraId="0F1AFE28" w14:textId="713A71C1" w:rsidR="002930E5" w:rsidRDefault="002930E5" w:rsidP="002930E5">
      <w:pPr>
        <w:autoSpaceDE w:val="0"/>
        <w:autoSpaceDN w:val="0"/>
        <w:adjustRightInd w:val="0"/>
        <w:spacing w:line="480" w:lineRule="auto"/>
        <w:jc w:val="both"/>
        <w:rPr>
          <w:bCs/>
          <w:lang w:val="en-US"/>
        </w:rPr>
      </w:pPr>
      <w:r w:rsidRPr="002930E5">
        <w:rPr>
          <w:bCs/>
          <w:vertAlign w:val="superscript"/>
          <w:lang w:val="en-US"/>
        </w:rPr>
        <w:t>3</w:t>
      </w:r>
      <w:r w:rsidRPr="002930E5">
        <w:rPr>
          <w:bCs/>
          <w:lang w:val="en-US"/>
        </w:rPr>
        <w:t xml:space="preserve">CONICET, Planta Piloto de </w:t>
      </w:r>
      <w:proofErr w:type="spellStart"/>
      <w:r w:rsidRPr="002930E5">
        <w:rPr>
          <w:bCs/>
          <w:lang w:val="en-US"/>
        </w:rPr>
        <w:t>Procesos</w:t>
      </w:r>
      <w:proofErr w:type="spellEnd"/>
      <w:r w:rsidRPr="002930E5">
        <w:rPr>
          <w:bCs/>
          <w:lang w:val="en-US"/>
        </w:rPr>
        <w:t xml:space="preserve"> </w:t>
      </w:r>
      <w:proofErr w:type="spellStart"/>
      <w:r w:rsidRPr="002930E5">
        <w:rPr>
          <w:bCs/>
          <w:lang w:val="en-US"/>
        </w:rPr>
        <w:t>Industriales</w:t>
      </w:r>
      <w:proofErr w:type="spellEnd"/>
      <w:r w:rsidRPr="002930E5">
        <w:rPr>
          <w:bCs/>
          <w:lang w:val="en-US"/>
        </w:rPr>
        <w:t xml:space="preserve"> </w:t>
      </w:r>
      <w:proofErr w:type="spellStart"/>
      <w:r w:rsidRPr="002930E5">
        <w:rPr>
          <w:bCs/>
          <w:lang w:val="en-US"/>
        </w:rPr>
        <w:t>Microbiológicos</w:t>
      </w:r>
      <w:proofErr w:type="spellEnd"/>
      <w:r w:rsidRPr="002930E5">
        <w:rPr>
          <w:bCs/>
          <w:lang w:val="en-US"/>
        </w:rPr>
        <w:t>, Argentina</w:t>
      </w:r>
    </w:p>
    <w:p w14:paraId="6A2AE41C" w14:textId="0A7DEEB3" w:rsidR="002930E5" w:rsidRDefault="002930E5" w:rsidP="002930E5">
      <w:pPr>
        <w:autoSpaceDE w:val="0"/>
        <w:autoSpaceDN w:val="0"/>
        <w:adjustRightInd w:val="0"/>
        <w:spacing w:line="480" w:lineRule="auto"/>
        <w:jc w:val="both"/>
        <w:rPr>
          <w:bCs/>
          <w:lang w:val="en-US"/>
        </w:rPr>
      </w:pPr>
    </w:p>
    <w:p w14:paraId="1C3B0B6B" w14:textId="0845A460" w:rsidR="002930E5" w:rsidRDefault="00426CB1" w:rsidP="002930E5">
      <w:pPr>
        <w:autoSpaceDE w:val="0"/>
        <w:autoSpaceDN w:val="0"/>
        <w:adjustRightInd w:val="0"/>
        <w:spacing w:line="480" w:lineRule="auto"/>
        <w:jc w:val="both"/>
        <w:rPr>
          <w:bCs/>
          <w:lang w:val="en-US"/>
        </w:rPr>
      </w:pPr>
      <w:r w:rsidRPr="00426CB1">
        <w:rPr>
          <w:bCs/>
          <w:vertAlign w:val="superscript"/>
          <w:lang w:val="en-US"/>
        </w:rPr>
        <w:t>*</w:t>
      </w:r>
      <w:r w:rsidR="002930E5" w:rsidRPr="002930E5">
        <w:rPr>
          <w:bCs/>
          <w:lang w:val="en-US"/>
        </w:rPr>
        <w:t>Corresponding author</w:t>
      </w:r>
      <w:r w:rsidR="002930E5">
        <w:rPr>
          <w:bCs/>
          <w:lang w:val="en-US"/>
        </w:rPr>
        <w:t xml:space="preserve">: </w:t>
      </w:r>
      <w:r w:rsidR="002930E5" w:rsidRPr="002930E5">
        <w:rPr>
          <w:bCs/>
          <w:lang w:val="en-US"/>
        </w:rPr>
        <w:t>Nancy Roxana Vera</w:t>
      </w:r>
      <w:r w:rsidR="002930E5" w:rsidRPr="002930E5">
        <w:rPr>
          <w:bCs/>
          <w:lang w:val="en-US"/>
        </w:rPr>
        <w:t xml:space="preserve"> </w:t>
      </w:r>
      <w:r w:rsidR="002930E5">
        <w:rPr>
          <w:bCs/>
          <w:lang w:val="en-US"/>
        </w:rPr>
        <w:t>(</w:t>
      </w:r>
      <w:hyperlink r:id="rId6" w:history="1">
        <w:r w:rsidR="002930E5" w:rsidRPr="00553D8F">
          <w:rPr>
            <w:rStyle w:val="Hyperlink"/>
            <w:bCs/>
            <w:lang w:val="en-US"/>
          </w:rPr>
          <w:t>nancy.vera@fbqf.unt.edu.ar</w:t>
        </w:r>
      </w:hyperlink>
      <w:r w:rsidR="002930E5" w:rsidRPr="002930E5">
        <w:rPr>
          <w:bCs/>
          <w:lang w:val="en-US"/>
        </w:rPr>
        <w:t>)</w:t>
      </w:r>
      <w:r w:rsidR="002930E5">
        <w:rPr>
          <w:bCs/>
          <w:lang w:val="en-US"/>
        </w:rPr>
        <w:t xml:space="preserve"> </w:t>
      </w:r>
    </w:p>
    <w:p w14:paraId="4E2EB4E9" w14:textId="77777777" w:rsidR="002930E5" w:rsidRDefault="002930E5">
      <w:pPr>
        <w:spacing w:after="160" w:line="259" w:lineRule="auto"/>
        <w:rPr>
          <w:bCs/>
          <w:lang w:val="en-US"/>
        </w:rPr>
      </w:pPr>
      <w:r>
        <w:rPr>
          <w:bCs/>
          <w:lang w:val="en-US"/>
        </w:rPr>
        <w:br w:type="page"/>
      </w:r>
    </w:p>
    <w:p w14:paraId="4D7D0774" w14:textId="77777777" w:rsidR="002930E5" w:rsidRPr="002930E5" w:rsidRDefault="002930E5" w:rsidP="002930E5">
      <w:pPr>
        <w:autoSpaceDE w:val="0"/>
        <w:autoSpaceDN w:val="0"/>
        <w:adjustRightInd w:val="0"/>
        <w:spacing w:line="480" w:lineRule="auto"/>
        <w:jc w:val="both"/>
        <w:rPr>
          <w:bCs/>
          <w:lang w:val="en-US"/>
        </w:rPr>
      </w:pPr>
    </w:p>
    <w:p w14:paraId="344773AC" w14:textId="632EA273" w:rsidR="005B604A" w:rsidRPr="009404AB" w:rsidRDefault="005B604A" w:rsidP="005B604A">
      <w:pPr>
        <w:autoSpaceDE w:val="0"/>
        <w:autoSpaceDN w:val="0"/>
        <w:adjustRightInd w:val="0"/>
        <w:spacing w:line="480" w:lineRule="auto"/>
        <w:jc w:val="both"/>
        <w:rPr>
          <w:bCs/>
          <w:i/>
          <w:iCs/>
          <w:lang w:val="en-US"/>
        </w:rPr>
      </w:pPr>
      <w:r w:rsidRPr="009404AB">
        <w:rPr>
          <w:bCs/>
          <w:i/>
          <w:iCs/>
          <w:lang w:val="en-US"/>
        </w:rPr>
        <w:t>Total phenolic content</w:t>
      </w:r>
    </w:p>
    <w:p w14:paraId="342D4DA0" w14:textId="77777777" w:rsidR="005B604A" w:rsidRPr="00DF7E67" w:rsidRDefault="005B604A" w:rsidP="005B604A">
      <w:pPr>
        <w:autoSpaceDE w:val="0"/>
        <w:autoSpaceDN w:val="0"/>
        <w:adjustRightInd w:val="0"/>
        <w:spacing w:line="480" w:lineRule="auto"/>
        <w:jc w:val="both"/>
        <w:rPr>
          <w:bCs/>
          <w:iCs/>
          <w:lang w:val="en-US"/>
        </w:rPr>
      </w:pPr>
      <w:r w:rsidRPr="009404AB">
        <w:rPr>
          <w:bCs/>
          <w:iCs/>
          <w:lang w:val="en-US"/>
        </w:rPr>
        <w:t xml:space="preserve">The determination of total phenolic content of the honey samples was conducted by the colorimetric </w:t>
      </w:r>
      <w:proofErr w:type="spellStart"/>
      <w:r w:rsidRPr="009404AB">
        <w:rPr>
          <w:bCs/>
          <w:iCs/>
          <w:lang w:val="en-US"/>
        </w:rPr>
        <w:t>Folin</w:t>
      </w:r>
      <w:proofErr w:type="spellEnd"/>
      <w:r w:rsidRPr="009404AB">
        <w:rPr>
          <w:bCs/>
          <w:iCs/>
          <w:lang w:val="en-US"/>
        </w:rPr>
        <w:t>–</w:t>
      </w:r>
      <w:proofErr w:type="spellStart"/>
      <w:r w:rsidRPr="009404AB">
        <w:rPr>
          <w:bCs/>
          <w:iCs/>
          <w:lang w:val="en-US"/>
        </w:rPr>
        <w:t>Ciocalteu</w:t>
      </w:r>
      <w:proofErr w:type="spellEnd"/>
      <w:r w:rsidRPr="009404AB">
        <w:rPr>
          <w:bCs/>
          <w:iCs/>
          <w:lang w:val="en-US"/>
        </w:rPr>
        <w:t xml:space="preserve"> method </w:t>
      </w:r>
      <w:r w:rsidRPr="005E14B6">
        <w:rPr>
          <w:bCs/>
          <w:iCs/>
          <w:lang w:val="en-US"/>
        </w:rPr>
        <w:t>(</w:t>
      </w:r>
      <w:r w:rsidRPr="005E14B6">
        <w:rPr>
          <w:lang w:val="en-US"/>
        </w:rPr>
        <w:t xml:space="preserve">Singleton </w:t>
      </w:r>
      <w:r w:rsidRPr="005E14B6">
        <w:rPr>
          <w:i/>
          <w:lang w:val="en-US"/>
        </w:rPr>
        <w:t>et al</w:t>
      </w:r>
      <w:r w:rsidRPr="005E14B6">
        <w:rPr>
          <w:lang w:val="en-US"/>
        </w:rPr>
        <w:t>., 1999</w:t>
      </w:r>
      <w:r w:rsidRPr="005E14B6">
        <w:rPr>
          <w:bCs/>
          <w:iCs/>
          <w:lang w:val="en-US"/>
        </w:rPr>
        <w:t>).</w:t>
      </w:r>
      <w:r w:rsidRPr="009404AB">
        <w:rPr>
          <w:bCs/>
          <w:iCs/>
          <w:lang w:val="en-US"/>
        </w:rPr>
        <w:t xml:space="preserve"> </w:t>
      </w:r>
      <w:r w:rsidRPr="00DF7E67">
        <w:rPr>
          <w:bCs/>
          <w:iCs/>
          <w:lang w:val="en-US"/>
        </w:rPr>
        <w:t>The samples were kept in the dark 2 hours before analysis. The total phenolic content (TC) was determined by interpolation of the absorbance of the sample with a calibration curve constructed with gallic acid standards (0.001 to 0.015 mg / ml in ethanol). Readings were made using a UV-Vis spectrophotometer at 760 nm. All analyzes were carried out in triplicate and the results obtained were expressed as milligrams of gallic acid equivalents per gram of extract (mg GAE / gram).</w:t>
      </w:r>
    </w:p>
    <w:p w14:paraId="1E596154" w14:textId="77777777" w:rsidR="005B604A" w:rsidRDefault="005B604A" w:rsidP="005B604A">
      <w:pPr>
        <w:autoSpaceDE w:val="0"/>
        <w:autoSpaceDN w:val="0"/>
        <w:adjustRightInd w:val="0"/>
        <w:spacing w:line="480" w:lineRule="auto"/>
        <w:jc w:val="both"/>
        <w:rPr>
          <w:b/>
          <w:iCs/>
          <w:lang w:val="en-US"/>
        </w:rPr>
      </w:pPr>
      <w:r>
        <w:rPr>
          <w:b/>
          <w:iCs/>
          <w:lang w:val="en-US"/>
        </w:rPr>
        <w:t>Biological activities</w:t>
      </w:r>
      <w:r w:rsidRPr="009404AB">
        <w:rPr>
          <w:b/>
          <w:iCs/>
          <w:lang w:val="en-US"/>
        </w:rPr>
        <w:t xml:space="preserve"> </w:t>
      </w:r>
    </w:p>
    <w:p w14:paraId="65F78C4F" w14:textId="1E6EE3B3" w:rsidR="005B604A" w:rsidRPr="009404AB" w:rsidRDefault="005B604A" w:rsidP="005B604A">
      <w:pPr>
        <w:autoSpaceDE w:val="0"/>
        <w:autoSpaceDN w:val="0"/>
        <w:adjustRightInd w:val="0"/>
        <w:spacing w:line="480" w:lineRule="auto"/>
        <w:jc w:val="both"/>
        <w:rPr>
          <w:lang w:val="en-GB"/>
        </w:rPr>
      </w:pPr>
      <w:r w:rsidRPr="009404AB">
        <w:rPr>
          <w:lang w:val="en-GB"/>
        </w:rPr>
        <w:t xml:space="preserve">DPPH scavenging activity </w:t>
      </w:r>
    </w:p>
    <w:p w14:paraId="64CEA6C3" w14:textId="77777777" w:rsidR="005B604A" w:rsidRPr="00DF7E67" w:rsidRDefault="005B604A" w:rsidP="005B604A">
      <w:pPr>
        <w:tabs>
          <w:tab w:val="left" w:pos="3735"/>
        </w:tabs>
        <w:autoSpaceDE w:val="0"/>
        <w:autoSpaceDN w:val="0"/>
        <w:adjustRightInd w:val="0"/>
        <w:spacing w:line="480" w:lineRule="auto"/>
        <w:jc w:val="both"/>
        <w:rPr>
          <w:lang w:val="en-GB"/>
        </w:rPr>
      </w:pPr>
      <w:r w:rsidRPr="00DF7E67">
        <w:rPr>
          <w:lang w:val="en-GB"/>
        </w:rPr>
        <w:t xml:space="preserve">Antioxidant activity was evaluated using 1,1 biphenyl - 2-picrylhydrazyl (DPPH) radical scavenging method. Absorbance at 517 nm was measured versus ethanol as a blank. The degradation of DPPH was evaluated against a control (0.25 ml of DPPH solution and 0.75 ml ethanol 96 %). </w:t>
      </w:r>
    </w:p>
    <w:p w14:paraId="66E06E8A" w14:textId="77777777" w:rsidR="005B604A" w:rsidRPr="00DF7E67" w:rsidRDefault="005B604A" w:rsidP="005B604A">
      <w:pPr>
        <w:tabs>
          <w:tab w:val="left" w:pos="3735"/>
        </w:tabs>
        <w:autoSpaceDE w:val="0"/>
        <w:autoSpaceDN w:val="0"/>
        <w:adjustRightInd w:val="0"/>
        <w:spacing w:line="480" w:lineRule="auto"/>
        <w:jc w:val="both"/>
        <w:rPr>
          <w:lang w:val="en-GB"/>
        </w:rPr>
      </w:pPr>
      <w:r w:rsidRPr="00DF7E67">
        <w:rPr>
          <w:lang w:val="en-GB"/>
        </w:rPr>
        <w:t>Antioxidant activity was expressed as: Scavenging activity % = [(Abs control – Abs sample)/ Abs control] x 100. All experiments were carried out in triplicate.</w:t>
      </w:r>
    </w:p>
    <w:p w14:paraId="4AFD8CF5" w14:textId="77777777" w:rsidR="005B604A" w:rsidRPr="009404AB" w:rsidRDefault="005B604A" w:rsidP="005B604A">
      <w:pPr>
        <w:tabs>
          <w:tab w:val="left" w:pos="3735"/>
        </w:tabs>
        <w:autoSpaceDE w:val="0"/>
        <w:autoSpaceDN w:val="0"/>
        <w:adjustRightInd w:val="0"/>
        <w:spacing w:line="480" w:lineRule="auto"/>
        <w:jc w:val="both"/>
        <w:rPr>
          <w:bCs/>
          <w:i/>
          <w:iCs/>
          <w:lang w:val="en-US"/>
        </w:rPr>
      </w:pPr>
      <w:r w:rsidRPr="009404AB">
        <w:rPr>
          <w:bCs/>
          <w:i/>
          <w:iCs/>
          <w:lang w:val="en-US"/>
        </w:rPr>
        <w:t>2.7.2. ABTS</w:t>
      </w:r>
      <w:r w:rsidRPr="009404AB">
        <w:rPr>
          <w:b/>
          <w:i/>
          <w:iCs/>
          <w:sz w:val="28"/>
          <w:szCs w:val="28"/>
          <w:lang w:val="en-US"/>
        </w:rPr>
        <w:t>·</w:t>
      </w:r>
      <w:r w:rsidRPr="009404AB">
        <w:rPr>
          <w:bCs/>
          <w:i/>
          <w:iCs/>
          <w:vertAlign w:val="superscript"/>
          <w:lang w:val="en-US"/>
        </w:rPr>
        <w:t>+</w:t>
      </w:r>
      <w:r w:rsidRPr="009404AB">
        <w:rPr>
          <w:bCs/>
          <w:i/>
          <w:iCs/>
          <w:lang w:val="en-US"/>
        </w:rPr>
        <w:t xml:space="preserve"> </w:t>
      </w:r>
      <w:proofErr w:type="spellStart"/>
      <w:r w:rsidRPr="009404AB">
        <w:rPr>
          <w:bCs/>
          <w:i/>
          <w:iCs/>
          <w:lang w:val="en-US"/>
        </w:rPr>
        <w:t>catión</w:t>
      </w:r>
      <w:proofErr w:type="spellEnd"/>
      <w:r w:rsidRPr="009404AB">
        <w:rPr>
          <w:bCs/>
          <w:i/>
          <w:iCs/>
          <w:lang w:val="en-US"/>
        </w:rPr>
        <w:t xml:space="preserve"> radical scavenging Total antioxidant capacity assay. </w:t>
      </w:r>
    </w:p>
    <w:p w14:paraId="7C157143" w14:textId="77777777" w:rsidR="005B604A" w:rsidRPr="00C8414F" w:rsidRDefault="005B604A" w:rsidP="005B604A">
      <w:pPr>
        <w:autoSpaceDE w:val="0"/>
        <w:autoSpaceDN w:val="0"/>
        <w:adjustRightInd w:val="0"/>
        <w:spacing w:line="480" w:lineRule="auto"/>
        <w:jc w:val="both"/>
        <w:rPr>
          <w:bCs/>
          <w:iCs/>
          <w:lang w:val="en-US"/>
        </w:rPr>
      </w:pPr>
      <w:r w:rsidRPr="00331B8C">
        <w:rPr>
          <w:bCs/>
          <w:iCs/>
          <w:lang w:val="en-US"/>
        </w:rPr>
        <w:t>The radical cation ABTS</w:t>
      </w:r>
      <w:r w:rsidRPr="00065CBE">
        <w:rPr>
          <w:b/>
          <w:i/>
          <w:iCs/>
          <w:sz w:val="28"/>
          <w:szCs w:val="28"/>
          <w:lang w:val="en-US"/>
        </w:rPr>
        <w:t>·</w:t>
      </w:r>
      <w:r w:rsidRPr="00065CBE">
        <w:rPr>
          <w:bCs/>
          <w:i/>
          <w:iCs/>
          <w:vertAlign w:val="superscript"/>
          <w:lang w:val="en-US"/>
        </w:rPr>
        <w:t>+</w:t>
      </w:r>
      <w:r w:rsidRPr="00C8414F">
        <w:rPr>
          <w:bCs/>
          <w:iCs/>
          <w:lang w:val="en-US"/>
        </w:rPr>
        <w:t xml:space="preserve"> was generated by reacting ABTS [2,20-azino-bis (3-ethylbenzthiazoline-6-sulfonic acid)] 7 mM and potassium persulfate 2.45 mM, after incubation at room temperature (23</w:t>
      </w:r>
      <w:proofErr w:type="gramStart"/>
      <w:r w:rsidRPr="00C8414F">
        <w:rPr>
          <w:bCs/>
          <w:iCs/>
          <w:lang w:val="en-US"/>
        </w:rPr>
        <w:t>ºC )</w:t>
      </w:r>
      <w:proofErr w:type="gramEnd"/>
      <w:r w:rsidRPr="00C8414F">
        <w:rPr>
          <w:bCs/>
          <w:iCs/>
          <w:lang w:val="en-US"/>
        </w:rPr>
        <w:t xml:space="preserve"> in the dark for 16 hours. ABTS</w:t>
      </w:r>
      <w:r w:rsidRPr="00065CBE">
        <w:rPr>
          <w:b/>
          <w:i/>
          <w:iCs/>
          <w:sz w:val="28"/>
          <w:szCs w:val="28"/>
          <w:lang w:val="en-US"/>
        </w:rPr>
        <w:t>·</w:t>
      </w:r>
      <w:r w:rsidRPr="00065CBE">
        <w:rPr>
          <w:bCs/>
          <w:i/>
          <w:iCs/>
          <w:vertAlign w:val="superscript"/>
          <w:lang w:val="en-US"/>
        </w:rPr>
        <w:t>+</w:t>
      </w:r>
      <w:r w:rsidRPr="00C8414F">
        <w:rPr>
          <w:bCs/>
          <w:iCs/>
          <w:lang w:val="en-US"/>
        </w:rPr>
        <w:t xml:space="preserve"> solution (1 ml; absorbance 0.70 ± 0.02 at 734 nm) was added to 3.1 mg of the phenolic compound in each sample tested and mixed thoroughly. The reaction mixture was allowed to stand at room temperature and the absorbance was recorded at 734 nm, 1 minute after initial mixing and up to 6 minutes.</w:t>
      </w:r>
    </w:p>
    <w:p w14:paraId="5DA70482" w14:textId="279AC3A1" w:rsidR="005B604A" w:rsidRDefault="005B604A" w:rsidP="005B604A">
      <w:pPr>
        <w:autoSpaceDE w:val="0"/>
        <w:autoSpaceDN w:val="0"/>
        <w:adjustRightInd w:val="0"/>
        <w:spacing w:line="480" w:lineRule="auto"/>
        <w:jc w:val="both"/>
        <w:rPr>
          <w:bCs/>
          <w:iCs/>
          <w:lang w:val="en-US"/>
        </w:rPr>
      </w:pPr>
      <w:r w:rsidRPr="00DF7E67">
        <w:rPr>
          <w:bCs/>
          <w:iCs/>
          <w:lang w:val="en-US"/>
        </w:rPr>
        <w:lastRenderedPageBreak/>
        <w:t>The results were expressed as Trolox equivalent antioxidant capacity (TEAC) in mmol of Trolox equivalents / g of honeys weight (Re et al., 1999).</w:t>
      </w:r>
    </w:p>
    <w:p w14:paraId="48080443" w14:textId="77777777" w:rsidR="005B604A" w:rsidRPr="009404AB" w:rsidRDefault="005B604A" w:rsidP="005B604A">
      <w:pPr>
        <w:autoSpaceDE w:val="0"/>
        <w:autoSpaceDN w:val="0"/>
        <w:adjustRightInd w:val="0"/>
        <w:spacing w:line="480" w:lineRule="auto"/>
        <w:jc w:val="both"/>
        <w:rPr>
          <w:b/>
          <w:iCs/>
          <w:lang w:val="en-US"/>
        </w:rPr>
      </w:pPr>
      <w:r>
        <w:rPr>
          <w:b/>
          <w:i/>
          <w:iCs/>
          <w:lang w:val="en-US"/>
        </w:rPr>
        <w:t>I</w:t>
      </w:r>
      <w:r w:rsidRPr="00D60A63">
        <w:rPr>
          <w:b/>
          <w:i/>
          <w:iCs/>
          <w:lang w:val="en-US"/>
        </w:rPr>
        <w:t>n vivo</w:t>
      </w:r>
      <w:r>
        <w:rPr>
          <w:b/>
          <w:iCs/>
          <w:lang w:val="en-US"/>
        </w:rPr>
        <w:t xml:space="preserve"> p</w:t>
      </w:r>
      <w:r w:rsidRPr="009404AB">
        <w:rPr>
          <w:b/>
          <w:iCs/>
          <w:lang w:val="en-US"/>
        </w:rPr>
        <w:t>harmacological evaluation</w:t>
      </w:r>
    </w:p>
    <w:p w14:paraId="76985BC6" w14:textId="7B58F359" w:rsidR="005B604A" w:rsidRPr="007E4596" w:rsidRDefault="005B604A" w:rsidP="005B604A">
      <w:pPr>
        <w:autoSpaceDE w:val="0"/>
        <w:autoSpaceDN w:val="0"/>
        <w:adjustRightInd w:val="0"/>
        <w:spacing w:line="480" w:lineRule="auto"/>
        <w:jc w:val="both"/>
        <w:rPr>
          <w:i/>
          <w:iCs/>
          <w:lang w:val="en-US"/>
        </w:rPr>
      </w:pPr>
      <w:r w:rsidRPr="007E4596">
        <w:rPr>
          <w:i/>
          <w:iCs/>
          <w:lang w:val="en-US"/>
        </w:rPr>
        <w:t>Animals</w:t>
      </w:r>
    </w:p>
    <w:p w14:paraId="4E05A82D" w14:textId="15FEA775" w:rsidR="005B604A" w:rsidRDefault="005B604A" w:rsidP="005B604A">
      <w:pPr>
        <w:tabs>
          <w:tab w:val="left" w:pos="7088"/>
        </w:tabs>
        <w:spacing w:line="480" w:lineRule="auto"/>
        <w:ind w:right="49"/>
        <w:jc w:val="both"/>
        <w:rPr>
          <w:lang w:val="en-US"/>
        </w:rPr>
      </w:pPr>
      <w:r w:rsidRPr="007E76BB">
        <w:rPr>
          <w:lang w:val="en-US"/>
        </w:rPr>
        <w:t xml:space="preserve">The experiments were conducted in accordance with internationally recognized standards for the use and care of laboratory animals (1986 EEC </w:t>
      </w:r>
      <w:proofErr w:type="gramStart"/>
      <w:r w:rsidRPr="007E76BB">
        <w:rPr>
          <w:lang w:val="en-US"/>
        </w:rPr>
        <w:t>Directive;</w:t>
      </w:r>
      <w:proofErr w:type="gramEnd"/>
      <w:r w:rsidRPr="007E76BB">
        <w:rPr>
          <w:lang w:val="en-US"/>
        </w:rPr>
        <w:t xml:space="preserve"> 86/609 / EEC). The Institutional Committee for the Care and Use of Laboratory Animals (CICUAL) approved the protocol for anti-inflammatory, antinociceptive, and acute toxicity testing on 07/14/2019 (No. CICUAL 012/2018, dated 07/14/2019). All animals were housed under conventional laboratory conditions of humidity, temperature (25 </w:t>
      </w:r>
      <w:r w:rsidRPr="00DF7E67">
        <w:rPr>
          <w:lang w:val="en-US"/>
        </w:rPr>
        <w:t>±</w:t>
      </w:r>
      <w:r w:rsidRPr="007E76BB">
        <w:rPr>
          <w:lang w:val="en-US"/>
        </w:rPr>
        <w:t xml:space="preserve"> </w:t>
      </w:r>
      <w:r>
        <w:rPr>
          <w:lang w:val="en-US"/>
        </w:rPr>
        <w:t>1</w:t>
      </w:r>
      <w:r w:rsidRPr="005F60C5">
        <w:rPr>
          <w:vertAlign w:val="superscript"/>
          <w:lang w:val="en-US"/>
        </w:rPr>
        <w:t>o</w:t>
      </w:r>
      <w:r w:rsidRPr="007E76BB">
        <w:rPr>
          <w:lang w:val="en-US"/>
        </w:rPr>
        <w:t>C), and light (12 h dark/light cycle), and were provided with ad libitum access to food and drink. Male Wistar rats weighing between 220 and 240 g were utilized.</w:t>
      </w:r>
      <w:r w:rsidR="002930E5">
        <w:rPr>
          <w:lang w:val="en-US"/>
        </w:rPr>
        <w:t xml:space="preserve"> </w:t>
      </w:r>
    </w:p>
    <w:p w14:paraId="4A1199E4" w14:textId="4F5B4453" w:rsidR="005B604A" w:rsidRPr="007E4596" w:rsidRDefault="005B604A" w:rsidP="005B604A">
      <w:pPr>
        <w:tabs>
          <w:tab w:val="left" w:pos="7088"/>
        </w:tabs>
        <w:spacing w:line="480" w:lineRule="auto"/>
        <w:ind w:right="49"/>
        <w:jc w:val="both"/>
        <w:rPr>
          <w:i/>
          <w:lang w:val="en-US"/>
        </w:rPr>
      </w:pPr>
      <w:r w:rsidRPr="007E4596">
        <w:rPr>
          <w:i/>
          <w:lang w:val="en-US"/>
        </w:rPr>
        <w:t>Carrageenan-induced hind paw edema in rats</w:t>
      </w:r>
    </w:p>
    <w:p w14:paraId="2049ADFA" w14:textId="77777777" w:rsidR="005B604A" w:rsidRPr="007E76BB" w:rsidRDefault="005B604A" w:rsidP="005B604A">
      <w:pPr>
        <w:tabs>
          <w:tab w:val="left" w:pos="7088"/>
        </w:tabs>
        <w:spacing w:line="480" w:lineRule="auto"/>
        <w:ind w:right="49"/>
        <w:jc w:val="both"/>
        <w:rPr>
          <w:lang w:val="en-US"/>
        </w:rPr>
      </w:pPr>
      <w:r>
        <w:rPr>
          <w:lang w:val="en-US"/>
        </w:rPr>
        <w:t>Paw ed</w:t>
      </w:r>
      <w:r w:rsidRPr="007E76BB">
        <w:rPr>
          <w:lang w:val="en-US"/>
        </w:rPr>
        <w:t>ema was generated in rats (six per group)</w:t>
      </w:r>
      <w:r>
        <w:rPr>
          <w:lang w:val="en-US"/>
        </w:rPr>
        <w:t xml:space="preserve"> by injecting 0.1 ml 1.5 %</w:t>
      </w:r>
      <w:r w:rsidRPr="007E76BB">
        <w:rPr>
          <w:lang w:val="en-US"/>
        </w:rPr>
        <w:t xml:space="preserve"> (w / v) carrageenan into the </w:t>
      </w:r>
      <w:proofErr w:type="spellStart"/>
      <w:r w:rsidRPr="007E76BB">
        <w:rPr>
          <w:lang w:val="en-US"/>
        </w:rPr>
        <w:t>subplantar</w:t>
      </w:r>
      <w:proofErr w:type="spellEnd"/>
      <w:r w:rsidRPr="007E76BB">
        <w:rPr>
          <w:lang w:val="en-US"/>
        </w:rPr>
        <w:t xml:space="preserve"> region of the right hind paw (Winter et al., 1962). </w:t>
      </w:r>
      <w:r w:rsidRPr="005E0FD0">
        <w:rPr>
          <w:lang w:val="en-GB"/>
        </w:rPr>
        <w:t xml:space="preserve">Control group rats received saline solution [0.9% (w/v) NaCl] (2 ml/kg) and the reference group received 100 mg/Kg ibuprofen, orally. The test groups of rats were treated orally with </w:t>
      </w:r>
      <w:r w:rsidRPr="007E76BB">
        <w:rPr>
          <w:lang w:val="en-US"/>
        </w:rPr>
        <w:t xml:space="preserve">500, or 1000 mg/kg </w:t>
      </w:r>
      <w:r w:rsidRPr="005F60C5">
        <w:rPr>
          <w:i/>
          <w:lang w:val="en-US"/>
        </w:rPr>
        <w:t xml:space="preserve">T. </w:t>
      </w:r>
      <w:proofErr w:type="spellStart"/>
      <w:r w:rsidRPr="005F60C5">
        <w:rPr>
          <w:i/>
          <w:lang w:val="en-US"/>
        </w:rPr>
        <w:t>fiebrigi</w:t>
      </w:r>
      <w:proofErr w:type="spellEnd"/>
      <w:r w:rsidRPr="007E76BB">
        <w:rPr>
          <w:lang w:val="en-US"/>
        </w:rPr>
        <w:t xml:space="preserve"> honey (</w:t>
      </w:r>
      <w:proofErr w:type="spellStart"/>
      <w:r w:rsidRPr="007E76BB">
        <w:rPr>
          <w:lang w:val="en-US"/>
        </w:rPr>
        <w:t>TfH</w:t>
      </w:r>
      <w:proofErr w:type="spellEnd"/>
      <w:r w:rsidRPr="007E76BB">
        <w:rPr>
          <w:lang w:val="en-US"/>
        </w:rPr>
        <w:t xml:space="preserve">) orally </w:t>
      </w:r>
      <w:r w:rsidRPr="005E0FD0">
        <w:rPr>
          <w:lang w:val="en-GB"/>
        </w:rPr>
        <w:t xml:space="preserve">30 min before the carrageenan injection. </w:t>
      </w:r>
      <w:r w:rsidRPr="007E76BB">
        <w:rPr>
          <w:lang w:val="en-US"/>
        </w:rPr>
        <w:t>Inflammation was determined by subtracting the volume increase in the paw (ml) following treatment from the basal volume. The results were</w:t>
      </w:r>
      <w:r>
        <w:rPr>
          <w:lang w:val="en-US"/>
        </w:rPr>
        <w:t xml:space="preserve"> reported as a percentage of ed</w:t>
      </w:r>
      <w:r w:rsidRPr="007E76BB">
        <w:rPr>
          <w:lang w:val="en-US"/>
        </w:rPr>
        <w:t>ema inhibition, computed using the formula [(Vt - Vo) / Vo] 100 </w:t>
      </w:r>
    </w:p>
    <w:p w14:paraId="45A403BF" w14:textId="77777777" w:rsidR="005B604A" w:rsidRPr="007E76BB" w:rsidRDefault="005B604A" w:rsidP="005B604A">
      <w:pPr>
        <w:tabs>
          <w:tab w:val="left" w:pos="7088"/>
        </w:tabs>
        <w:spacing w:line="480" w:lineRule="auto"/>
        <w:ind w:right="49"/>
        <w:jc w:val="both"/>
        <w:rPr>
          <w:lang w:val="en-US"/>
        </w:rPr>
      </w:pPr>
      <w:r w:rsidRPr="007E76BB">
        <w:rPr>
          <w:lang w:val="en-US"/>
        </w:rPr>
        <w:t>Vo: paw volume prior to carrageenan injection.</w:t>
      </w:r>
    </w:p>
    <w:p w14:paraId="40308B81" w14:textId="77777777" w:rsidR="005B604A" w:rsidRDefault="005B604A" w:rsidP="005B604A">
      <w:pPr>
        <w:tabs>
          <w:tab w:val="left" w:pos="7088"/>
        </w:tabs>
        <w:spacing w:line="480" w:lineRule="auto"/>
        <w:ind w:right="49"/>
        <w:jc w:val="both"/>
        <w:rPr>
          <w:lang w:val="en-US"/>
        </w:rPr>
      </w:pPr>
      <w:r w:rsidRPr="007E76BB">
        <w:rPr>
          <w:lang w:val="en-US"/>
        </w:rPr>
        <w:t>Vt: paw volume at 1, 2-, 3-, 4-, and 6-hours following carrageenan administration.</w:t>
      </w:r>
    </w:p>
    <w:p w14:paraId="2164BAE4" w14:textId="038CE5DF" w:rsidR="005B604A" w:rsidRPr="007E4596" w:rsidRDefault="005B604A" w:rsidP="005B604A">
      <w:pPr>
        <w:tabs>
          <w:tab w:val="left" w:pos="7088"/>
        </w:tabs>
        <w:spacing w:line="480" w:lineRule="auto"/>
        <w:ind w:right="49"/>
        <w:jc w:val="both"/>
        <w:rPr>
          <w:i/>
          <w:lang w:val="en-US"/>
        </w:rPr>
      </w:pPr>
      <w:r w:rsidRPr="007E4596">
        <w:rPr>
          <w:i/>
          <w:lang w:val="en-US"/>
        </w:rPr>
        <w:t xml:space="preserve">Cotton pellet-induced granuloma formation </w:t>
      </w:r>
    </w:p>
    <w:p w14:paraId="30628D4D" w14:textId="77777777" w:rsidR="005B604A" w:rsidRDefault="005B604A" w:rsidP="005B604A">
      <w:pPr>
        <w:autoSpaceDE w:val="0"/>
        <w:autoSpaceDN w:val="0"/>
        <w:adjustRightInd w:val="0"/>
        <w:spacing w:line="480" w:lineRule="auto"/>
        <w:jc w:val="both"/>
        <w:rPr>
          <w:lang w:val="en-US"/>
        </w:rPr>
      </w:pPr>
      <w:r w:rsidRPr="000F1122">
        <w:rPr>
          <w:lang w:val="en-US"/>
        </w:rPr>
        <w:lastRenderedPageBreak/>
        <w:t xml:space="preserve">In Wistar rats, the effect of </w:t>
      </w:r>
      <w:proofErr w:type="spellStart"/>
      <w:r w:rsidRPr="000F1122">
        <w:rPr>
          <w:lang w:val="en-US"/>
        </w:rPr>
        <w:t>TfH</w:t>
      </w:r>
      <w:proofErr w:type="spellEnd"/>
      <w:r w:rsidRPr="000F1122">
        <w:rPr>
          <w:lang w:val="en-US"/>
        </w:rPr>
        <w:t xml:space="preserve"> honey on granuloma formation was investigated (Reynoso et al., 2016). Two sterile cotton pellets (20 mg) were subcutaneously implanted in each group, one on each side of the abdomen, under light ether </w:t>
      </w:r>
      <w:proofErr w:type="spellStart"/>
      <w:r w:rsidRPr="000F1122">
        <w:rPr>
          <w:lang w:val="en-US"/>
        </w:rPr>
        <w:t>anaesthesia</w:t>
      </w:r>
      <w:proofErr w:type="spellEnd"/>
      <w:r w:rsidRPr="000F1122">
        <w:rPr>
          <w:lang w:val="en-US"/>
        </w:rPr>
        <w:t>.</w:t>
      </w:r>
      <w:r>
        <w:rPr>
          <w:lang w:val="en-US"/>
        </w:rPr>
        <w:t xml:space="preserve"> </w:t>
      </w:r>
      <w:r w:rsidRPr="005F60C5">
        <w:rPr>
          <w:i/>
          <w:lang w:val="en-US"/>
        </w:rPr>
        <w:t xml:space="preserve">T. </w:t>
      </w:r>
      <w:proofErr w:type="spellStart"/>
      <w:r w:rsidRPr="005F60C5">
        <w:rPr>
          <w:i/>
          <w:lang w:val="en-US"/>
        </w:rPr>
        <w:t>fiebrigi</w:t>
      </w:r>
      <w:proofErr w:type="spellEnd"/>
      <w:r w:rsidRPr="000F1122">
        <w:rPr>
          <w:lang w:val="en-US"/>
        </w:rPr>
        <w:t xml:space="preserve"> honey (250, 500, and 1000 mg/kg) was injected intravenously daily for seven consecutive days beginning on the day of pellet implantation. The standard was administered ibuprofen and </w:t>
      </w:r>
      <w:proofErr w:type="spellStart"/>
      <w:r w:rsidRPr="000F1122">
        <w:rPr>
          <w:lang w:val="en-US"/>
        </w:rPr>
        <w:t>meprednisone</w:t>
      </w:r>
      <w:proofErr w:type="spellEnd"/>
      <w:r w:rsidRPr="000F1122">
        <w:rPr>
          <w:lang w:val="en-US"/>
        </w:rPr>
        <w:t xml:space="preserve"> at doses of 100 and 5 mg/kg/day, respectively.</w:t>
      </w:r>
    </w:p>
    <w:p w14:paraId="4FD39FF5" w14:textId="77777777" w:rsidR="005B604A" w:rsidRDefault="005B604A" w:rsidP="005B604A">
      <w:pPr>
        <w:autoSpaceDE w:val="0"/>
        <w:autoSpaceDN w:val="0"/>
        <w:adjustRightInd w:val="0"/>
        <w:spacing w:line="480" w:lineRule="auto"/>
        <w:jc w:val="both"/>
        <w:rPr>
          <w:lang w:val="en-US"/>
        </w:rPr>
      </w:pPr>
      <w:r w:rsidRPr="006F0493">
        <w:rPr>
          <w:lang w:val="en-US"/>
        </w:rPr>
        <w:t xml:space="preserve">On the eighth day, the animals were </w:t>
      </w:r>
      <w:proofErr w:type="gramStart"/>
      <w:r w:rsidRPr="006F0493">
        <w:rPr>
          <w:lang w:val="en-US"/>
        </w:rPr>
        <w:t>slaughtered</w:t>
      </w:r>
      <w:proofErr w:type="gramEnd"/>
      <w:r w:rsidRPr="006F0493">
        <w:rPr>
          <w:lang w:val="en-US"/>
        </w:rPr>
        <w:t xml:space="preserve"> and the cotton pellets and thymus were removed, cleaned of extraneous tissue, weighed, and then dried (at 60 °C for 18 h). By subtracting the constant weight of the dried pellets from the weight of the wet pellets, the exudate amount was estimated. By subtracting the weight of the cotton pellets (20 mg) from the weight of the dried pellets, the weight of the granulation tissue was determined. The following calculation was used to compute the percentages of inhibiting granulation tissue formation:</w:t>
      </w:r>
    </w:p>
    <w:p w14:paraId="04AC63CE" w14:textId="77777777" w:rsidR="005B604A" w:rsidRDefault="005B604A" w:rsidP="005B604A">
      <w:pPr>
        <w:autoSpaceDE w:val="0"/>
        <w:autoSpaceDN w:val="0"/>
        <w:adjustRightInd w:val="0"/>
        <w:spacing w:line="480" w:lineRule="auto"/>
        <w:jc w:val="both"/>
        <w:rPr>
          <w:lang w:val="en-US"/>
        </w:rPr>
      </w:pPr>
      <w:r w:rsidRPr="00BD5615">
        <w:rPr>
          <w:lang w:val="en-US"/>
        </w:rPr>
        <w:t>Granuloma inhibition (%) = (1 ‒ Granuloma in treated</w:t>
      </w:r>
      <w:r>
        <w:rPr>
          <w:lang w:val="en-US"/>
        </w:rPr>
        <w:t xml:space="preserve"> </w:t>
      </w:r>
      <w:r w:rsidRPr="00BD5615">
        <w:rPr>
          <w:lang w:val="en-US"/>
        </w:rPr>
        <w:t>gro</w:t>
      </w:r>
      <w:r>
        <w:rPr>
          <w:lang w:val="en-US"/>
        </w:rPr>
        <w:t>up/Granuloma in controls) x 100</w:t>
      </w:r>
    </w:p>
    <w:p w14:paraId="647D9B98" w14:textId="2F819C1C" w:rsidR="005B604A" w:rsidRPr="007E4596" w:rsidRDefault="005B604A" w:rsidP="005B604A">
      <w:pPr>
        <w:autoSpaceDE w:val="0"/>
        <w:autoSpaceDN w:val="0"/>
        <w:adjustRightInd w:val="0"/>
        <w:spacing w:line="480" w:lineRule="auto"/>
        <w:jc w:val="both"/>
        <w:rPr>
          <w:i/>
          <w:iCs/>
          <w:lang w:val="en-US"/>
        </w:rPr>
      </w:pPr>
      <w:r w:rsidRPr="007E4596">
        <w:rPr>
          <w:i/>
          <w:iCs/>
          <w:lang w:val="en-US"/>
        </w:rPr>
        <w:t>Antinociceptive assays</w:t>
      </w:r>
    </w:p>
    <w:p w14:paraId="41C6F42E" w14:textId="77777777" w:rsidR="005B604A" w:rsidRPr="009404AB" w:rsidRDefault="005B604A" w:rsidP="005B604A">
      <w:pPr>
        <w:autoSpaceDE w:val="0"/>
        <w:autoSpaceDN w:val="0"/>
        <w:adjustRightInd w:val="0"/>
        <w:spacing w:line="480" w:lineRule="auto"/>
        <w:jc w:val="both"/>
        <w:rPr>
          <w:bCs/>
          <w:i/>
          <w:iCs/>
          <w:lang w:val="en-US"/>
        </w:rPr>
      </w:pPr>
      <w:r w:rsidRPr="009404AB">
        <w:rPr>
          <w:bCs/>
          <w:i/>
          <w:iCs/>
          <w:lang w:val="en-US"/>
        </w:rPr>
        <w:t xml:space="preserve">Formalin-induced nociception </w:t>
      </w:r>
    </w:p>
    <w:p w14:paraId="08925A03" w14:textId="77777777" w:rsidR="005B604A" w:rsidRPr="002E52DE" w:rsidRDefault="005B604A" w:rsidP="005B604A">
      <w:pPr>
        <w:autoSpaceDE w:val="0"/>
        <w:autoSpaceDN w:val="0"/>
        <w:adjustRightInd w:val="0"/>
        <w:spacing w:line="480" w:lineRule="auto"/>
        <w:jc w:val="both"/>
        <w:rPr>
          <w:lang w:val="en-GB"/>
        </w:rPr>
      </w:pPr>
      <w:r w:rsidRPr="00941CE3">
        <w:rPr>
          <w:lang w:val="en-GB"/>
        </w:rPr>
        <w:t xml:space="preserve">The formalin test was carried </w:t>
      </w:r>
      <w:proofErr w:type="gramStart"/>
      <w:r w:rsidRPr="00941CE3">
        <w:rPr>
          <w:lang w:val="en-GB"/>
        </w:rPr>
        <w:t>similar to</w:t>
      </w:r>
      <w:proofErr w:type="gramEnd"/>
      <w:r w:rsidRPr="00941CE3">
        <w:rPr>
          <w:lang w:val="en-GB"/>
        </w:rPr>
        <w:t xml:space="preserve"> that described by </w:t>
      </w:r>
      <w:proofErr w:type="spellStart"/>
      <w:r w:rsidRPr="00941CE3">
        <w:rPr>
          <w:lang w:val="en-GB"/>
        </w:rPr>
        <w:t>Gorzalczany</w:t>
      </w:r>
      <w:proofErr w:type="spellEnd"/>
      <w:r w:rsidRPr="00941CE3">
        <w:rPr>
          <w:lang w:val="en-GB"/>
        </w:rPr>
        <w:t xml:space="preserve"> et al., (2011). </w:t>
      </w:r>
      <w:r w:rsidRPr="00941CE3">
        <w:rPr>
          <w:lang w:val="en-US"/>
        </w:rPr>
        <w:t>Thirteen minutes after treatment wi</w:t>
      </w:r>
      <w:r>
        <w:rPr>
          <w:lang w:val="en-US"/>
        </w:rPr>
        <w:t>th sterile water (control, p.o.</w:t>
      </w:r>
      <w:r w:rsidRPr="00941CE3">
        <w:rPr>
          <w:lang w:val="en-US"/>
        </w:rPr>
        <w:t xml:space="preserve">), honey samples (250, 500, and 1000 mg/kg </w:t>
      </w:r>
      <w:proofErr w:type="spellStart"/>
      <w:proofErr w:type="gramStart"/>
      <w:r w:rsidRPr="00941CE3">
        <w:rPr>
          <w:lang w:val="en-US"/>
        </w:rPr>
        <w:t>b.w.</w:t>
      </w:r>
      <w:proofErr w:type="spellEnd"/>
      <w:r w:rsidRPr="00941CE3">
        <w:rPr>
          <w:lang w:val="en-US"/>
        </w:rPr>
        <w:t xml:space="preserve"> )</w:t>
      </w:r>
      <w:proofErr w:type="gramEnd"/>
      <w:r w:rsidRPr="00941CE3">
        <w:rPr>
          <w:lang w:val="en-US"/>
        </w:rPr>
        <w:t xml:space="preserve"> and reference drugs ibuprofen syrup (100 mg/kg </w:t>
      </w:r>
      <w:proofErr w:type="spellStart"/>
      <w:r w:rsidRPr="00941CE3">
        <w:rPr>
          <w:lang w:val="en-US"/>
        </w:rPr>
        <w:t>b.w.</w:t>
      </w:r>
      <w:proofErr w:type="spellEnd"/>
      <w:r w:rsidRPr="00941CE3">
        <w:rPr>
          <w:lang w:val="en-US"/>
        </w:rPr>
        <w:t xml:space="preserve">) and morphine syrup (1 mg/kg </w:t>
      </w:r>
      <w:proofErr w:type="spellStart"/>
      <w:r w:rsidRPr="00941CE3">
        <w:rPr>
          <w:lang w:val="en-US"/>
        </w:rPr>
        <w:t>b.w.</w:t>
      </w:r>
      <w:proofErr w:type="spellEnd"/>
      <w:r w:rsidRPr="00941CE3">
        <w:rPr>
          <w:lang w:val="en-US"/>
        </w:rPr>
        <w:t xml:space="preserve"> ), rats (n = 6 per group) were injected with 20 µl of 2.5 % formalin solution into the sub-plantar region of the right hind paw. </w:t>
      </w:r>
      <w:r w:rsidRPr="00941CE3">
        <w:rPr>
          <w:lang w:val="en-GB"/>
        </w:rPr>
        <w:t>Licking time of the injected paw, was recorded as nociceptive response at 0– 5 min (neurogenic phase) and 15–30 min (inflammatory phase) after formalin injection.</w:t>
      </w:r>
    </w:p>
    <w:p w14:paraId="7193DBA3" w14:textId="77777777" w:rsidR="005B604A" w:rsidRPr="00DF7E67" w:rsidRDefault="005B604A" w:rsidP="005B604A">
      <w:pPr>
        <w:autoSpaceDE w:val="0"/>
        <w:autoSpaceDN w:val="0"/>
        <w:adjustRightInd w:val="0"/>
        <w:spacing w:line="480" w:lineRule="auto"/>
        <w:jc w:val="both"/>
        <w:rPr>
          <w:bCs/>
          <w:i/>
          <w:lang w:val="en-US"/>
        </w:rPr>
      </w:pPr>
      <w:r w:rsidRPr="00DF7E67">
        <w:rPr>
          <w:bCs/>
          <w:i/>
          <w:lang w:val="en-US"/>
        </w:rPr>
        <w:t>Acetic acid-induced writhing method</w:t>
      </w:r>
    </w:p>
    <w:p w14:paraId="505DDF0B" w14:textId="77777777" w:rsidR="005B604A" w:rsidRDefault="005B604A" w:rsidP="005B604A">
      <w:pPr>
        <w:autoSpaceDE w:val="0"/>
        <w:autoSpaceDN w:val="0"/>
        <w:adjustRightInd w:val="0"/>
        <w:spacing w:line="480" w:lineRule="auto"/>
        <w:jc w:val="both"/>
        <w:rPr>
          <w:bCs/>
          <w:iCs/>
          <w:lang w:val="en-US"/>
        </w:rPr>
      </w:pPr>
      <w:r w:rsidRPr="00216473">
        <w:rPr>
          <w:bCs/>
          <w:iCs/>
          <w:lang w:val="en-US"/>
        </w:rPr>
        <w:lastRenderedPageBreak/>
        <w:t xml:space="preserve">Thirty minutes before to acetic acid injection, rats (n = 6) were given with honey (250, 500, and 1000 mg/kg body weight, </w:t>
      </w:r>
      <w:proofErr w:type="gramStart"/>
      <w:r w:rsidRPr="00216473">
        <w:rPr>
          <w:bCs/>
          <w:iCs/>
          <w:lang w:val="en-US"/>
        </w:rPr>
        <w:t>p.o. )</w:t>
      </w:r>
      <w:proofErr w:type="gramEnd"/>
      <w:r w:rsidRPr="00216473">
        <w:rPr>
          <w:bCs/>
          <w:iCs/>
          <w:lang w:val="en-US"/>
        </w:rPr>
        <w:t xml:space="preserve">, sterile water (control, p.o. ), morphine syrup (1 mg/kg body weight, p.o. ), and ibuprofen syrup (100 mg/kg body weight, p.o.). Each group received 10 ml/kg </w:t>
      </w:r>
      <w:proofErr w:type="spellStart"/>
      <w:r w:rsidRPr="00216473">
        <w:rPr>
          <w:bCs/>
          <w:iCs/>
          <w:lang w:val="en-US"/>
        </w:rPr>
        <w:t>b.w.</w:t>
      </w:r>
      <w:proofErr w:type="spellEnd"/>
      <w:r w:rsidRPr="00216473">
        <w:rPr>
          <w:bCs/>
          <w:iCs/>
          <w:lang w:val="en-US"/>
        </w:rPr>
        <w:t xml:space="preserve">, </w:t>
      </w:r>
      <w:proofErr w:type="spellStart"/>
      <w:r w:rsidRPr="00216473">
        <w:rPr>
          <w:bCs/>
          <w:iCs/>
          <w:lang w:val="en-US"/>
        </w:rPr>
        <w:t>i.p.</w:t>
      </w:r>
      <w:proofErr w:type="spellEnd"/>
      <w:r w:rsidRPr="00216473">
        <w:rPr>
          <w:bCs/>
          <w:iCs/>
          <w:lang w:val="en-US"/>
        </w:rPr>
        <w:t>, of an acetic aci</w:t>
      </w:r>
      <w:r>
        <w:rPr>
          <w:bCs/>
          <w:iCs/>
          <w:lang w:val="en-US"/>
        </w:rPr>
        <w:t>d aqueous solution (1.0 %</w:t>
      </w:r>
      <w:r w:rsidRPr="00216473">
        <w:rPr>
          <w:bCs/>
          <w:iCs/>
          <w:lang w:val="en-US"/>
        </w:rPr>
        <w:t>). The rats were monitored after five minutes, and the number of writhing rodents was counted for 30 minutes (Koster et al. 1959).</w:t>
      </w:r>
    </w:p>
    <w:p w14:paraId="3C429950" w14:textId="77777777" w:rsidR="005B604A" w:rsidRPr="009404AB" w:rsidRDefault="005B604A" w:rsidP="005B604A">
      <w:pPr>
        <w:autoSpaceDE w:val="0"/>
        <w:autoSpaceDN w:val="0"/>
        <w:adjustRightInd w:val="0"/>
        <w:spacing w:line="480" w:lineRule="auto"/>
        <w:jc w:val="both"/>
        <w:rPr>
          <w:bCs/>
          <w:i/>
          <w:lang w:val="en-US"/>
        </w:rPr>
      </w:pPr>
      <w:r w:rsidRPr="009404AB">
        <w:rPr>
          <w:bCs/>
          <w:i/>
          <w:lang w:val="en-US"/>
        </w:rPr>
        <w:t>Tail immersion test</w:t>
      </w:r>
    </w:p>
    <w:p w14:paraId="6200769D" w14:textId="77777777" w:rsidR="005B604A" w:rsidRDefault="005B604A" w:rsidP="005B604A">
      <w:pPr>
        <w:autoSpaceDE w:val="0"/>
        <w:autoSpaceDN w:val="0"/>
        <w:adjustRightInd w:val="0"/>
        <w:spacing w:line="480" w:lineRule="auto"/>
        <w:jc w:val="both"/>
        <w:rPr>
          <w:iCs/>
          <w:lang w:val="en-US"/>
        </w:rPr>
      </w:pPr>
      <w:r w:rsidRPr="00AA7848">
        <w:rPr>
          <w:iCs/>
          <w:lang w:val="en-US"/>
        </w:rPr>
        <w:t xml:space="preserve">One to two centimeters of the tails of rats (n = 6 per group) were immersed in warm water maintained at 54 0.5°C and prepped with samples of </w:t>
      </w:r>
      <w:proofErr w:type="spellStart"/>
      <w:r w:rsidRPr="00941CE3">
        <w:rPr>
          <w:b/>
          <w:iCs/>
          <w:lang w:val="en-US"/>
        </w:rPr>
        <w:t>TfH</w:t>
      </w:r>
      <w:proofErr w:type="spellEnd"/>
      <w:r w:rsidRPr="00AA7848">
        <w:rPr>
          <w:iCs/>
          <w:lang w:val="en-US"/>
        </w:rPr>
        <w:t xml:space="preserve"> honey (250,</w:t>
      </w:r>
      <w:r>
        <w:rPr>
          <w:iCs/>
          <w:lang w:val="en-US"/>
        </w:rPr>
        <w:t xml:space="preserve"> 500, and 1000 mg/kg </w:t>
      </w:r>
      <w:proofErr w:type="spellStart"/>
      <w:r>
        <w:rPr>
          <w:iCs/>
          <w:lang w:val="en-US"/>
        </w:rPr>
        <w:t>b.w.</w:t>
      </w:r>
      <w:proofErr w:type="spellEnd"/>
      <w:r>
        <w:rPr>
          <w:iCs/>
          <w:lang w:val="en-US"/>
        </w:rPr>
        <w:t>; p.o.</w:t>
      </w:r>
      <w:r w:rsidRPr="00AA7848">
        <w:rPr>
          <w:iCs/>
          <w:lang w:val="en-US"/>
        </w:rPr>
        <w:t>), mor</w:t>
      </w:r>
      <w:r>
        <w:rPr>
          <w:iCs/>
          <w:lang w:val="en-US"/>
        </w:rPr>
        <w:t xml:space="preserve">phine syrup (1 mg/kg </w:t>
      </w:r>
      <w:proofErr w:type="spellStart"/>
      <w:r>
        <w:rPr>
          <w:iCs/>
          <w:lang w:val="en-US"/>
        </w:rPr>
        <w:t>b.w.</w:t>
      </w:r>
      <w:proofErr w:type="spellEnd"/>
      <w:r>
        <w:rPr>
          <w:iCs/>
          <w:lang w:val="en-US"/>
        </w:rPr>
        <w:t>, p.o.</w:t>
      </w:r>
      <w:r w:rsidRPr="00AA7848">
        <w:rPr>
          <w:iCs/>
          <w:lang w:val="en-US"/>
        </w:rPr>
        <w:t>), ibupro</w:t>
      </w:r>
      <w:r>
        <w:rPr>
          <w:iCs/>
          <w:lang w:val="en-US"/>
        </w:rPr>
        <w:t xml:space="preserve">fen syrup (100 mg/kg </w:t>
      </w:r>
      <w:proofErr w:type="spellStart"/>
      <w:r>
        <w:rPr>
          <w:iCs/>
          <w:lang w:val="en-US"/>
        </w:rPr>
        <w:t>b.w.</w:t>
      </w:r>
      <w:proofErr w:type="spellEnd"/>
      <w:r>
        <w:rPr>
          <w:iCs/>
          <w:lang w:val="en-US"/>
        </w:rPr>
        <w:t>, p.o.</w:t>
      </w:r>
      <w:r w:rsidRPr="00AA7848">
        <w:rPr>
          <w:iCs/>
          <w:lang w:val="en-US"/>
        </w:rPr>
        <w:t>), and (Wen et al., 2014). The latency between tail immersion and tail deflection was determined. A 20-second delay period was maintained to prevent tail tissue injury in mice (Aydin et al., 1999). Antinociception was determined by the latency period of the tail withdrawal response. It was determined 30, 60, 90, 120, and 150 minutes after the medication and honey were administered.</w:t>
      </w:r>
    </w:p>
    <w:p w14:paraId="46D35C19" w14:textId="6586E85B" w:rsidR="005B604A" w:rsidRPr="00DF7E67" w:rsidRDefault="005B604A" w:rsidP="005B604A">
      <w:pPr>
        <w:autoSpaceDE w:val="0"/>
        <w:autoSpaceDN w:val="0"/>
        <w:adjustRightInd w:val="0"/>
        <w:spacing w:line="480" w:lineRule="auto"/>
        <w:jc w:val="both"/>
        <w:rPr>
          <w:b/>
          <w:iCs/>
          <w:lang w:val="en-US"/>
        </w:rPr>
      </w:pPr>
      <w:r w:rsidRPr="00DF7E67">
        <w:rPr>
          <w:b/>
          <w:iCs/>
          <w:lang w:val="en-US"/>
        </w:rPr>
        <w:t>Acute toxicity</w:t>
      </w:r>
    </w:p>
    <w:p w14:paraId="774FB60D" w14:textId="61FB8CB7" w:rsidR="005B604A" w:rsidRPr="00DF7E67" w:rsidRDefault="005B604A" w:rsidP="005B604A">
      <w:pPr>
        <w:autoSpaceDE w:val="0"/>
        <w:autoSpaceDN w:val="0"/>
        <w:adjustRightInd w:val="0"/>
        <w:spacing w:line="480" w:lineRule="auto"/>
        <w:jc w:val="both"/>
        <w:rPr>
          <w:bCs/>
          <w:iCs/>
          <w:lang w:val="en-US"/>
        </w:rPr>
      </w:pPr>
      <w:r w:rsidRPr="00715EB3">
        <w:rPr>
          <w:iCs/>
          <w:lang w:val="en-US"/>
        </w:rPr>
        <w:t xml:space="preserve">Three six-animal groups were developed. They were given orally with a single dose of </w:t>
      </w:r>
      <w:r w:rsidRPr="00941CE3">
        <w:rPr>
          <w:i/>
          <w:iCs/>
          <w:lang w:val="en-US"/>
        </w:rPr>
        <w:t xml:space="preserve">T. </w:t>
      </w:r>
      <w:proofErr w:type="spellStart"/>
      <w:r w:rsidRPr="00941CE3">
        <w:rPr>
          <w:i/>
          <w:iCs/>
          <w:lang w:val="en-US"/>
        </w:rPr>
        <w:t>fiebrigi</w:t>
      </w:r>
      <w:proofErr w:type="spellEnd"/>
      <w:r w:rsidRPr="00941CE3">
        <w:rPr>
          <w:i/>
          <w:iCs/>
          <w:lang w:val="en-US"/>
        </w:rPr>
        <w:t xml:space="preserve"> </w:t>
      </w:r>
      <w:r w:rsidRPr="00715EB3">
        <w:rPr>
          <w:iCs/>
          <w:lang w:val="en-US"/>
        </w:rPr>
        <w:t>honey (2000 and 5000 mg</w:t>
      </w:r>
      <w:r>
        <w:rPr>
          <w:iCs/>
          <w:lang w:val="en-US"/>
        </w:rPr>
        <w:t>/kg in 10 ml/kg of volume)</w:t>
      </w:r>
      <w:r w:rsidRPr="00715EB3">
        <w:rPr>
          <w:iCs/>
          <w:lang w:val="en-US"/>
        </w:rPr>
        <w:t>. The control group received a single dosage of distilled water. The rats' overall behavior was examined continuously for the first 24 hours and daily until day 14 following medication. Death, alertness, sedation, ptosis, dyspnea, urination, diarrhea, convulsions, spontaneous motor activity, postural reflex, piloerection, and responsiveness to touch were all examined criteria. On days 1, 7, and 14, the rats' body weights were determined (OECD 420, 2001). At the conclusion of the examinations, the animals are mercifully killed. Pentobarbital 120-210 mg/kg was used to euthanize her, and her organs were removed and examined microscopically.</w:t>
      </w:r>
    </w:p>
    <w:p w14:paraId="4794C1B3" w14:textId="77777777" w:rsidR="000F02C9" w:rsidRDefault="000F02C9"/>
    <w:sectPr w:rsidR="000F02C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63185" w14:textId="77777777" w:rsidR="00717086" w:rsidRDefault="00717086" w:rsidP="002566FD">
      <w:r>
        <w:separator/>
      </w:r>
    </w:p>
  </w:endnote>
  <w:endnote w:type="continuationSeparator" w:id="0">
    <w:p w14:paraId="3F6A495F" w14:textId="77777777" w:rsidR="00717086" w:rsidRDefault="00717086" w:rsidP="00256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976496"/>
      <w:docPartObj>
        <w:docPartGallery w:val="Page Numbers (Bottom of Page)"/>
        <w:docPartUnique/>
      </w:docPartObj>
    </w:sdtPr>
    <w:sdtEndPr>
      <w:rPr>
        <w:noProof/>
      </w:rPr>
    </w:sdtEndPr>
    <w:sdtContent>
      <w:p w14:paraId="48E7BEAB" w14:textId="4475DC63" w:rsidR="002566FD" w:rsidRDefault="002566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9481C4" w14:textId="77777777" w:rsidR="002566FD" w:rsidRDefault="00256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08DE0" w14:textId="77777777" w:rsidR="00717086" w:rsidRDefault="00717086" w:rsidP="002566FD">
      <w:r>
        <w:separator/>
      </w:r>
    </w:p>
  </w:footnote>
  <w:footnote w:type="continuationSeparator" w:id="0">
    <w:p w14:paraId="3B4DC6D4" w14:textId="77777777" w:rsidR="00717086" w:rsidRDefault="00717086" w:rsidP="00256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5F925" w14:textId="03515376" w:rsidR="002566FD" w:rsidRDefault="002566FD">
    <w:pPr>
      <w:pStyle w:val="Header"/>
      <w:jc w:val="right"/>
    </w:pPr>
  </w:p>
  <w:p w14:paraId="0C5EB826" w14:textId="77777777" w:rsidR="002566FD" w:rsidRDefault="002566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4A"/>
    <w:rsid w:val="000F02C9"/>
    <w:rsid w:val="002566FD"/>
    <w:rsid w:val="002930E5"/>
    <w:rsid w:val="00426CB1"/>
    <w:rsid w:val="005B604A"/>
    <w:rsid w:val="00717086"/>
    <w:rsid w:val="00AC4D66"/>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C555"/>
  <w15:chartTrackingRefBased/>
  <w15:docId w15:val="{DDA3BFB3-8FDB-4835-A087-C3559B6E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04A"/>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B604A"/>
    <w:rPr>
      <w:sz w:val="16"/>
      <w:szCs w:val="16"/>
    </w:rPr>
  </w:style>
  <w:style w:type="paragraph" w:styleId="CommentText">
    <w:name w:val="annotation text"/>
    <w:basedOn w:val="Normal"/>
    <w:link w:val="CommentTextChar"/>
    <w:uiPriority w:val="99"/>
    <w:semiHidden/>
    <w:unhideWhenUsed/>
    <w:rsid w:val="005B604A"/>
    <w:rPr>
      <w:sz w:val="20"/>
      <w:szCs w:val="20"/>
    </w:rPr>
  </w:style>
  <w:style w:type="character" w:customStyle="1" w:styleId="CommentTextChar">
    <w:name w:val="Comment Text Char"/>
    <w:basedOn w:val="DefaultParagraphFont"/>
    <w:link w:val="CommentText"/>
    <w:uiPriority w:val="99"/>
    <w:semiHidden/>
    <w:rsid w:val="005B604A"/>
    <w:rPr>
      <w:rFonts w:ascii="Times New Roman" w:eastAsia="Times New Roman" w:hAnsi="Times New Roman" w:cs="Times New Roman"/>
      <w:sz w:val="20"/>
      <w:szCs w:val="20"/>
      <w:lang w:val="es-ES" w:eastAsia="es-ES"/>
    </w:rPr>
  </w:style>
  <w:style w:type="paragraph" w:styleId="Header">
    <w:name w:val="header"/>
    <w:basedOn w:val="Normal"/>
    <w:link w:val="HeaderChar"/>
    <w:uiPriority w:val="99"/>
    <w:unhideWhenUsed/>
    <w:rsid w:val="002566FD"/>
    <w:pPr>
      <w:tabs>
        <w:tab w:val="center" w:pos="4513"/>
        <w:tab w:val="right" w:pos="9026"/>
      </w:tabs>
    </w:pPr>
  </w:style>
  <w:style w:type="character" w:customStyle="1" w:styleId="HeaderChar">
    <w:name w:val="Header Char"/>
    <w:basedOn w:val="DefaultParagraphFont"/>
    <w:link w:val="Header"/>
    <w:uiPriority w:val="99"/>
    <w:rsid w:val="002566FD"/>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unhideWhenUsed/>
    <w:rsid w:val="002566FD"/>
    <w:pPr>
      <w:tabs>
        <w:tab w:val="center" w:pos="4513"/>
        <w:tab w:val="right" w:pos="9026"/>
      </w:tabs>
    </w:pPr>
  </w:style>
  <w:style w:type="character" w:customStyle="1" w:styleId="FooterChar">
    <w:name w:val="Footer Char"/>
    <w:basedOn w:val="DefaultParagraphFont"/>
    <w:link w:val="Footer"/>
    <w:uiPriority w:val="99"/>
    <w:rsid w:val="002566FD"/>
    <w:rPr>
      <w:rFonts w:ascii="Times New Roman" w:eastAsia="Times New Roman" w:hAnsi="Times New Roman" w:cs="Times New Roman"/>
      <w:sz w:val="24"/>
      <w:szCs w:val="24"/>
      <w:lang w:val="es-ES" w:eastAsia="es-ES"/>
    </w:rPr>
  </w:style>
  <w:style w:type="character" w:styleId="Hyperlink">
    <w:name w:val="Hyperlink"/>
    <w:basedOn w:val="DefaultParagraphFont"/>
    <w:uiPriority w:val="99"/>
    <w:unhideWhenUsed/>
    <w:rsid w:val="002930E5"/>
    <w:rPr>
      <w:color w:val="0563C1" w:themeColor="hyperlink"/>
      <w:u w:val="single"/>
    </w:rPr>
  </w:style>
  <w:style w:type="character" w:styleId="UnresolvedMention">
    <w:name w:val="Unresolved Mention"/>
    <w:basedOn w:val="DefaultParagraphFont"/>
    <w:uiPriority w:val="99"/>
    <w:semiHidden/>
    <w:unhideWhenUsed/>
    <w:rsid w:val="00293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ancy.vera@fbqf.unt.edu.a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Visagaa Publishing House</dc:creator>
  <cp:keywords/>
  <dc:description/>
  <cp:lastModifiedBy>Visagaa Publishing House</cp:lastModifiedBy>
  <cp:revision>5</cp:revision>
  <dcterms:created xsi:type="dcterms:W3CDTF">2022-01-04T23:13:00Z</dcterms:created>
  <dcterms:modified xsi:type="dcterms:W3CDTF">2022-01-04T23:30:00Z</dcterms:modified>
</cp:coreProperties>
</file>